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4392" w14:textId="77777777" w:rsidR="00863315" w:rsidRPr="00863315" w:rsidRDefault="00863315" w:rsidP="00DD3EC4">
      <w:pPr>
        <w:ind w:left="-709" w:firstLine="709"/>
        <w:jc w:val="center"/>
        <w:rPr>
          <w:b/>
          <w:bCs/>
          <w:color w:val="1F3864" w:themeColor="accent5" w:themeShade="80"/>
          <w:sz w:val="14"/>
          <w:szCs w:val="14"/>
        </w:rPr>
      </w:pPr>
    </w:p>
    <w:p w14:paraId="35286F51" w14:textId="77777777" w:rsidR="00FD0DF3" w:rsidRDefault="00FD0DF3" w:rsidP="00DD3EC4">
      <w:pPr>
        <w:ind w:left="-709" w:right="-518"/>
        <w:jc w:val="center"/>
        <w:rPr>
          <w:b/>
          <w:bCs/>
          <w:color w:val="1F3864" w:themeColor="accent5" w:themeShade="80"/>
          <w:sz w:val="24"/>
          <w:szCs w:val="24"/>
        </w:rPr>
      </w:pPr>
    </w:p>
    <w:p w14:paraId="56C5E44E" w14:textId="4A36D8D0" w:rsidR="001440F4" w:rsidRPr="009B2B54" w:rsidRDefault="001440F4" w:rsidP="00DD3EC4">
      <w:pPr>
        <w:ind w:left="-709" w:right="-518"/>
        <w:jc w:val="center"/>
        <w:rPr>
          <w:b/>
          <w:bCs/>
          <w:color w:val="1F3864" w:themeColor="accent5" w:themeShade="80"/>
          <w:sz w:val="24"/>
          <w:szCs w:val="24"/>
        </w:rPr>
      </w:pPr>
      <w:r w:rsidRPr="009B2B54">
        <w:rPr>
          <w:b/>
          <w:bCs/>
          <w:color w:val="1F3864" w:themeColor="accent5" w:themeShade="80"/>
          <w:sz w:val="24"/>
          <w:szCs w:val="24"/>
        </w:rPr>
        <w:t>ESTADO DEL PROGRAMA DE ALIMENTACIÓN ESCOLAR - PAE</w:t>
      </w:r>
    </w:p>
    <w:p w14:paraId="646B57D3" w14:textId="77777777" w:rsidR="002E7812" w:rsidRDefault="002E7812" w:rsidP="00DD4959">
      <w:pPr>
        <w:spacing w:line="276" w:lineRule="auto"/>
        <w:ind w:left="-709"/>
        <w:jc w:val="both"/>
        <w:rPr>
          <w:rFonts w:asciiTheme="minorHAnsi" w:hAnsiTheme="minorHAnsi" w:cstheme="minorHAnsi"/>
          <w:color w:val="002060"/>
          <w:sz w:val="24"/>
          <w:szCs w:val="24"/>
        </w:rPr>
      </w:pPr>
    </w:p>
    <w:p w14:paraId="483996ED" w14:textId="26C4C714" w:rsidR="001440F4" w:rsidRPr="00E5789A" w:rsidRDefault="001440F4" w:rsidP="00DD4959">
      <w:pPr>
        <w:spacing w:line="276" w:lineRule="auto"/>
        <w:ind w:left="-709"/>
        <w:jc w:val="both"/>
        <w:rPr>
          <w:rFonts w:asciiTheme="minorHAnsi" w:hAnsiTheme="minorHAnsi" w:cstheme="minorHAnsi"/>
        </w:rPr>
      </w:pPr>
      <w:r w:rsidRPr="00E5789A">
        <w:rPr>
          <w:rFonts w:asciiTheme="minorHAnsi" w:hAnsiTheme="minorHAnsi" w:cstheme="minorHAnsi"/>
        </w:rPr>
        <w:t xml:space="preserve">El </w:t>
      </w:r>
      <w:r w:rsidR="002E7812" w:rsidRPr="00E5789A">
        <w:rPr>
          <w:rFonts w:asciiTheme="minorHAnsi" w:hAnsiTheme="minorHAnsi" w:cstheme="minorHAnsi"/>
        </w:rPr>
        <w:t xml:space="preserve">Informe de Operación del Programa -INOP se realiza semanalmente y tiene como </w:t>
      </w:r>
      <w:r w:rsidR="008B6535" w:rsidRPr="00E5789A">
        <w:rPr>
          <w:rFonts w:asciiTheme="minorHAnsi" w:hAnsiTheme="minorHAnsi" w:cstheme="minorHAnsi"/>
        </w:rPr>
        <w:t>objetivo consolidar</w:t>
      </w:r>
      <w:r w:rsidRPr="00E5789A">
        <w:rPr>
          <w:rFonts w:asciiTheme="minorHAnsi" w:hAnsiTheme="minorHAnsi" w:cstheme="minorHAnsi"/>
        </w:rPr>
        <w:t xml:space="preserve"> los avances </w:t>
      </w:r>
      <w:r w:rsidR="0022362D" w:rsidRPr="00E5789A">
        <w:rPr>
          <w:rFonts w:asciiTheme="minorHAnsi" w:hAnsiTheme="minorHAnsi" w:cstheme="minorHAnsi"/>
        </w:rPr>
        <w:t>de</w:t>
      </w:r>
      <w:r w:rsidRPr="00E5789A">
        <w:rPr>
          <w:rFonts w:asciiTheme="minorHAnsi" w:hAnsiTheme="minorHAnsi" w:cstheme="minorHAnsi"/>
        </w:rPr>
        <w:t xml:space="preserve"> la implementación del PAE reportados por las ETC en el marco del seguimiento y acompañamiento realizado por la UApA</w:t>
      </w:r>
      <w:r w:rsidR="002E7812" w:rsidRPr="00E5789A">
        <w:rPr>
          <w:rFonts w:asciiTheme="minorHAnsi" w:hAnsiTheme="minorHAnsi" w:cstheme="minorHAnsi"/>
        </w:rPr>
        <w:t>.</w:t>
      </w:r>
      <w:r w:rsidR="008B6535" w:rsidRPr="00E5789A">
        <w:rPr>
          <w:rFonts w:asciiTheme="minorHAnsi" w:hAnsiTheme="minorHAnsi" w:cstheme="minorHAnsi"/>
        </w:rPr>
        <w:t xml:space="preserve"> En este sentido, la información descrita </w:t>
      </w:r>
      <w:r w:rsidR="008F6858">
        <w:rPr>
          <w:rFonts w:asciiTheme="minorHAnsi" w:hAnsiTheme="minorHAnsi" w:cstheme="minorHAnsi"/>
        </w:rPr>
        <w:t>semanalmente</w:t>
      </w:r>
      <w:r w:rsidR="008B6535" w:rsidRPr="00E5789A">
        <w:rPr>
          <w:rFonts w:asciiTheme="minorHAnsi" w:hAnsiTheme="minorHAnsi" w:cstheme="minorHAnsi"/>
        </w:rPr>
        <w:t xml:space="preserve"> hace relaci</w:t>
      </w:r>
      <w:r w:rsidR="0022362D" w:rsidRPr="00E5789A">
        <w:rPr>
          <w:rFonts w:asciiTheme="minorHAnsi" w:hAnsiTheme="minorHAnsi" w:cstheme="minorHAnsi"/>
        </w:rPr>
        <w:t>ó</w:t>
      </w:r>
      <w:r w:rsidR="008B6535" w:rsidRPr="00E5789A">
        <w:rPr>
          <w:rFonts w:asciiTheme="minorHAnsi" w:hAnsiTheme="minorHAnsi" w:cstheme="minorHAnsi"/>
        </w:rPr>
        <w:t xml:space="preserve">n al periodo o fecha de corte </w:t>
      </w:r>
      <w:r w:rsidR="0022362D" w:rsidRPr="00E5789A">
        <w:rPr>
          <w:rFonts w:asciiTheme="minorHAnsi" w:hAnsiTheme="minorHAnsi" w:cstheme="minorHAnsi"/>
        </w:rPr>
        <w:t xml:space="preserve">de este. Es decir, el lector deberá tener en cuenta la fecha de corte </w:t>
      </w:r>
      <w:r w:rsidR="007C2335">
        <w:rPr>
          <w:rFonts w:asciiTheme="minorHAnsi" w:hAnsiTheme="minorHAnsi" w:cstheme="minorHAnsi"/>
        </w:rPr>
        <w:t>c</w:t>
      </w:r>
      <w:r w:rsidR="0022362D" w:rsidRPr="00E5789A">
        <w:rPr>
          <w:rFonts w:asciiTheme="minorHAnsi" w:hAnsiTheme="minorHAnsi" w:cstheme="minorHAnsi"/>
        </w:rPr>
        <w:t xml:space="preserve">omo contexto de la información </w:t>
      </w:r>
      <w:r w:rsidR="008F6858">
        <w:rPr>
          <w:rFonts w:asciiTheme="minorHAnsi" w:hAnsiTheme="minorHAnsi" w:cstheme="minorHAnsi"/>
        </w:rPr>
        <w:t xml:space="preserve">presentada y </w:t>
      </w:r>
      <w:r w:rsidR="0022362D" w:rsidRPr="00E5789A">
        <w:rPr>
          <w:rFonts w:asciiTheme="minorHAnsi" w:hAnsiTheme="minorHAnsi" w:cstheme="minorHAnsi"/>
        </w:rPr>
        <w:t>comprender que la dinámica del programa por ETC puede cambiar semanalmente</w:t>
      </w:r>
      <w:r w:rsidR="007C2335">
        <w:rPr>
          <w:rFonts w:asciiTheme="minorHAnsi" w:hAnsiTheme="minorHAnsi" w:cstheme="minorHAnsi"/>
        </w:rPr>
        <w:t>.</w:t>
      </w:r>
    </w:p>
    <w:p w14:paraId="0564B05D" w14:textId="77777777" w:rsidR="001440F4" w:rsidRPr="00863315" w:rsidRDefault="001440F4" w:rsidP="00DD3EC4">
      <w:pPr>
        <w:ind w:left="-709" w:right="-518" w:firstLine="709"/>
        <w:jc w:val="both"/>
        <w:rPr>
          <w:b/>
          <w:bCs/>
          <w:color w:val="1F3864" w:themeColor="accent5" w:themeShade="80"/>
          <w:sz w:val="18"/>
          <w:szCs w:val="18"/>
        </w:rPr>
      </w:pPr>
    </w:p>
    <w:p w14:paraId="5E359F8D" w14:textId="77777777" w:rsidR="00FD0DF3" w:rsidRDefault="00FD0DF3" w:rsidP="00D419A4">
      <w:pPr>
        <w:ind w:left="-709"/>
        <w:jc w:val="both"/>
        <w:rPr>
          <w:b/>
          <w:bCs/>
          <w:color w:val="1F3864" w:themeColor="accent5" w:themeShade="80"/>
        </w:rPr>
      </w:pPr>
    </w:p>
    <w:p w14:paraId="7E3B087C" w14:textId="4201E832" w:rsidR="00686EA4" w:rsidRPr="00B2028D" w:rsidRDefault="00686EA4" w:rsidP="00D419A4">
      <w:pPr>
        <w:ind w:left="-709"/>
        <w:jc w:val="both"/>
        <w:rPr>
          <w:b/>
          <w:bCs/>
          <w:color w:val="1F3864" w:themeColor="accent5" w:themeShade="80"/>
        </w:rPr>
      </w:pPr>
      <w:r w:rsidRPr="00B2028D">
        <w:rPr>
          <w:b/>
          <w:bCs/>
          <w:color w:val="1F3864" w:themeColor="accent5" w:themeShade="80"/>
        </w:rPr>
        <w:t>INICIO OPORTUNO Y EN CONDICIONES REGULARES EN PRESENCIALIDAD CON MEDIDAS DE BIOSEGURIDAD DADAS POR MINISTERIO DE SALUD</w:t>
      </w:r>
    </w:p>
    <w:p w14:paraId="39C1777B" w14:textId="77777777" w:rsidR="00686EA4" w:rsidRPr="007B18CC" w:rsidRDefault="00686EA4" w:rsidP="00D419A4">
      <w:pPr>
        <w:ind w:left="-709"/>
        <w:jc w:val="both"/>
        <w:rPr>
          <w:b/>
          <w:bCs/>
          <w:sz w:val="14"/>
          <w:szCs w:val="14"/>
        </w:rPr>
      </w:pPr>
    </w:p>
    <w:p w14:paraId="4E11876B" w14:textId="280758E9" w:rsidR="00686EA4" w:rsidRPr="000A6C8A" w:rsidRDefault="00686EA4" w:rsidP="00DD4959">
      <w:pPr>
        <w:spacing w:line="276" w:lineRule="auto"/>
        <w:ind w:left="-709"/>
        <w:jc w:val="both"/>
      </w:pPr>
      <w:r w:rsidRPr="000A6C8A">
        <w:t xml:space="preserve">Desde la UApA se han desarrollado diferentes acciones en el marco del acompañamiento y asistencia técnica </w:t>
      </w:r>
      <w:r w:rsidR="00C62054">
        <w:t xml:space="preserve">que se brinda tanto a nivel </w:t>
      </w:r>
      <w:r w:rsidR="00A658A5">
        <w:t>colectiv</w:t>
      </w:r>
      <w:r w:rsidR="00C62054">
        <w:t xml:space="preserve">o </w:t>
      </w:r>
      <w:r w:rsidR="00A658A5">
        <w:t xml:space="preserve">como individual </w:t>
      </w:r>
      <w:r w:rsidR="00EC4CB2">
        <w:t>a las</w:t>
      </w:r>
      <w:r w:rsidR="00A658A5">
        <w:t xml:space="preserve"> ETC</w:t>
      </w:r>
      <w:r w:rsidR="00A658A5" w:rsidRPr="000A6C8A">
        <w:t>,</w:t>
      </w:r>
      <w:r w:rsidR="00A658A5">
        <w:t xml:space="preserve"> </w:t>
      </w:r>
      <w:r w:rsidRPr="000A6C8A">
        <w:t xml:space="preserve">con el fin de </w:t>
      </w:r>
      <w:r w:rsidR="00A658A5" w:rsidRPr="000A6C8A">
        <w:t>orientar la</w:t>
      </w:r>
      <w:r w:rsidRPr="000A6C8A">
        <w:t xml:space="preserve"> implementación y ejecución del </w:t>
      </w:r>
      <w:r w:rsidR="00C62054" w:rsidRPr="000A6C8A">
        <w:t xml:space="preserve">PAE </w:t>
      </w:r>
      <w:r w:rsidR="00C62054">
        <w:t>de manera</w:t>
      </w:r>
      <w:r w:rsidRPr="000A6C8A">
        <w:t xml:space="preserve"> oportuna y eficiente</w:t>
      </w:r>
      <w:r w:rsidR="00A658A5">
        <w:t>. L</w:t>
      </w:r>
      <w:r w:rsidRPr="000A6C8A">
        <w:t xml:space="preserve">as </w:t>
      </w:r>
      <w:r w:rsidR="00A658A5">
        <w:t>c</w:t>
      </w:r>
      <w:r w:rsidRPr="000A6C8A">
        <w:t xml:space="preserve">irculares </w:t>
      </w:r>
      <w:r w:rsidR="00A658A5">
        <w:t>e</w:t>
      </w:r>
      <w:r w:rsidRPr="000A6C8A">
        <w:t xml:space="preserve">xternas No. 010 y 011 de </w:t>
      </w:r>
      <w:r w:rsidR="0022362D" w:rsidRPr="000A6C8A">
        <w:t xml:space="preserve">2021, </w:t>
      </w:r>
      <w:r w:rsidR="00C62054">
        <w:t>destacan</w:t>
      </w:r>
      <w:r w:rsidRPr="000A6C8A">
        <w:t xml:space="preserve"> las</w:t>
      </w:r>
      <w:r w:rsidR="00A658A5">
        <w:t xml:space="preserve"> </w:t>
      </w:r>
      <w:r w:rsidRPr="000A6C8A">
        <w:t>acciones a tener en cuenta por parte de las Entidades Territoriales en c</w:t>
      </w:r>
      <w:r w:rsidR="00A658A5">
        <w:t>oherencia</w:t>
      </w:r>
      <w:r w:rsidRPr="000A6C8A">
        <w:t xml:space="preserve"> con las decisiones adoptadas por el Gobierno Nacional para garantizar la </w:t>
      </w:r>
      <w:r w:rsidR="00C62054">
        <w:t xml:space="preserve">adecuada </w:t>
      </w:r>
      <w:r w:rsidRPr="000A6C8A">
        <w:t>prestación del servicio</w:t>
      </w:r>
      <w:r w:rsidR="00C62054">
        <w:t xml:space="preserve"> en el territorio nacional.</w:t>
      </w:r>
    </w:p>
    <w:p w14:paraId="1184F6A1" w14:textId="77777777" w:rsidR="00686EA4" w:rsidRPr="000A6C8A" w:rsidRDefault="00686EA4" w:rsidP="00DD4959">
      <w:pPr>
        <w:spacing w:line="276" w:lineRule="auto"/>
        <w:ind w:left="-709"/>
        <w:jc w:val="both"/>
      </w:pPr>
    </w:p>
    <w:p w14:paraId="34F64166" w14:textId="22A2EE45" w:rsidR="00686EA4" w:rsidRPr="000A6C8A" w:rsidRDefault="00686EA4" w:rsidP="00DD4959">
      <w:pPr>
        <w:spacing w:line="276" w:lineRule="auto"/>
        <w:ind w:left="-709"/>
        <w:jc w:val="both"/>
      </w:pPr>
      <w:r w:rsidRPr="000A6C8A">
        <w:t>La</w:t>
      </w:r>
      <w:r w:rsidR="00C62054">
        <w:t xml:space="preserve">s </w:t>
      </w:r>
      <w:r w:rsidRPr="000A6C8A">
        <w:t>orientaciones y decisiones establecidas para la reactivación de las actividades económicas, sociales y del Estado, propenden por el cumplimiento de las responsabilidades de las Entidades Territoriales como actores fundamentales en la implementación del Programa de Alimentación Escolar</w:t>
      </w:r>
      <w:r w:rsidR="00501B86">
        <w:t>,</w:t>
      </w:r>
      <w:r w:rsidRPr="000A6C8A">
        <w:t xml:space="preserve"> disposiciones que no son de interpretación sino de estricto cumplimiento, lo anterior, propiciará las condiciones para la prestación del durante el calendario académico de la vigencia 2022, contribuyendo al cumplimiento de los fines esenciales del Estado.</w:t>
      </w:r>
    </w:p>
    <w:p w14:paraId="6637C7C2" w14:textId="77777777" w:rsidR="00686EA4" w:rsidRPr="000A6C8A" w:rsidRDefault="00686EA4" w:rsidP="00DD4959">
      <w:pPr>
        <w:spacing w:line="276" w:lineRule="auto"/>
        <w:ind w:left="-709"/>
        <w:jc w:val="both"/>
      </w:pPr>
    </w:p>
    <w:p w14:paraId="04F7584A" w14:textId="5075E443" w:rsidR="00686EA4" w:rsidRDefault="00686EA4" w:rsidP="00DD4959">
      <w:pPr>
        <w:spacing w:line="276" w:lineRule="auto"/>
        <w:ind w:left="-709"/>
        <w:jc w:val="both"/>
        <w:rPr>
          <w:i/>
          <w:iCs/>
        </w:rPr>
      </w:pPr>
      <w:r w:rsidRPr="000A6C8A">
        <w:t xml:space="preserve">La responsabilidad </w:t>
      </w:r>
      <w:r w:rsidR="00501B86">
        <w:t>de</w:t>
      </w:r>
      <w:r w:rsidRPr="000A6C8A">
        <w:t xml:space="preserve"> la prestación del servicio de Alimentación Escolar desde el primer día de calendario académico y durante toda su vigencia, se encuentra en cabeza de las Entidades Territoriales Certificadas; lo que con</w:t>
      </w:r>
      <w:r w:rsidR="00501B86">
        <w:t>lleva</w:t>
      </w:r>
      <w:r w:rsidRPr="000A6C8A">
        <w:t xml:space="preserve"> </w:t>
      </w:r>
      <w:r w:rsidR="00501B86">
        <w:t>a</w:t>
      </w:r>
      <w:r w:rsidRPr="000A6C8A">
        <w:t>l desarrollo oportuno y eficiente de las actividades relacionadas con la planeación contractual, financiera y técnica del Programa con observancia de la normatividad (</w:t>
      </w:r>
      <w:r w:rsidRPr="000A6C8A">
        <w:rPr>
          <w:i/>
          <w:iCs/>
        </w:rPr>
        <w:t>Resoluciones 00335 de 2021 y 18858 de 2018).</w:t>
      </w:r>
    </w:p>
    <w:p w14:paraId="1CF3AEF1" w14:textId="77777777" w:rsidR="00DA5D91" w:rsidRPr="006F2B90" w:rsidRDefault="00DA5D91" w:rsidP="00DD4959">
      <w:pPr>
        <w:spacing w:line="276" w:lineRule="auto"/>
        <w:ind w:left="-709"/>
        <w:jc w:val="both"/>
        <w:rPr>
          <w:b/>
          <w:bCs/>
          <w:color w:val="1F3864" w:themeColor="accent5" w:themeShade="80"/>
          <w:sz w:val="18"/>
          <w:szCs w:val="18"/>
        </w:rPr>
      </w:pPr>
    </w:p>
    <w:p w14:paraId="1AC63C3E" w14:textId="77777777" w:rsidR="00FD0DF3" w:rsidRDefault="00FD0DF3" w:rsidP="00D419A4">
      <w:pPr>
        <w:ind w:left="-709"/>
        <w:jc w:val="both"/>
        <w:rPr>
          <w:b/>
          <w:bCs/>
          <w:color w:val="1F3864" w:themeColor="accent5" w:themeShade="80"/>
        </w:rPr>
      </w:pPr>
    </w:p>
    <w:p w14:paraId="21257167" w14:textId="27E51793" w:rsidR="00686EA4" w:rsidRPr="00D3507E" w:rsidRDefault="00686EA4" w:rsidP="00D419A4">
      <w:pPr>
        <w:ind w:left="-709"/>
        <w:jc w:val="both"/>
        <w:rPr>
          <w:b/>
          <w:bCs/>
          <w:color w:val="1F3864" w:themeColor="accent5" w:themeShade="80"/>
        </w:rPr>
      </w:pPr>
      <w:r w:rsidRPr="00D3507E">
        <w:rPr>
          <w:b/>
          <w:bCs/>
          <w:color w:val="1F3864" w:themeColor="accent5" w:themeShade="80"/>
        </w:rPr>
        <w:t xml:space="preserve">SEGUIMIENTO </w:t>
      </w:r>
      <w:r w:rsidR="00061478">
        <w:rPr>
          <w:b/>
          <w:bCs/>
          <w:color w:val="1F3864" w:themeColor="accent5" w:themeShade="80"/>
        </w:rPr>
        <w:t>DE</w:t>
      </w:r>
      <w:r w:rsidRPr="00D3507E">
        <w:rPr>
          <w:b/>
          <w:bCs/>
          <w:color w:val="1F3864" w:themeColor="accent5" w:themeShade="80"/>
        </w:rPr>
        <w:t xml:space="preserve"> LA UApA </w:t>
      </w:r>
      <w:r w:rsidR="00061478">
        <w:rPr>
          <w:b/>
          <w:bCs/>
          <w:color w:val="1F3864" w:themeColor="accent5" w:themeShade="80"/>
        </w:rPr>
        <w:t>A</w:t>
      </w:r>
      <w:r w:rsidRPr="00D3507E">
        <w:rPr>
          <w:b/>
          <w:bCs/>
          <w:color w:val="1F3864" w:themeColor="accent5" w:themeShade="80"/>
        </w:rPr>
        <w:t xml:space="preserve"> LA OPERACIÓN PAE </w:t>
      </w:r>
    </w:p>
    <w:p w14:paraId="347C3930" w14:textId="77777777" w:rsidR="00686EA4" w:rsidRPr="000A6C8A" w:rsidRDefault="00686EA4" w:rsidP="00D419A4">
      <w:pPr>
        <w:ind w:left="-709"/>
        <w:jc w:val="both"/>
        <w:rPr>
          <w:b/>
          <w:bCs/>
          <w:sz w:val="10"/>
          <w:szCs w:val="10"/>
        </w:rPr>
      </w:pPr>
    </w:p>
    <w:p w14:paraId="1CAAA5D4" w14:textId="20C37ED7" w:rsidR="00686EA4" w:rsidRPr="000A6C8A" w:rsidRDefault="00686EA4" w:rsidP="00DD4959">
      <w:pPr>
        <w:spacing w:line="276" w:lineRule="auto"/>
        <w:ind w:left="-709"/>
        <w:jc w:val="both"/>
      </w:pPr>
      <w:r w:rsidRPr="000A6C8A">
        <w:t xml:space="preserve">Conforme a la información remitida por las 96 Entidades </w:t>
      </w:r>
      <w:r w:rsidR="00061478" w:rsidRPr="000A6C8A">
        <w:t>Territoriales</w:t>
      </w:r>
      <w:r w:rsidR="00EC4CB2">
        <w:t xml:space="preserve"> en</w:t>
      </w:r>
      <w:r w:rsidR="00061478">
        <w:t xml:space="preserve"> el</w:t>
      </w:r>
      <w:r w:rsidR="00BA0053">
        <w:t xml:space="preserve"> Anexo </w:t>
      </w:r>
      <w:r w:rsidR="00061478">
        <w:t>1</w:t>
      </w:r>
      <w:r w:rsidR="00BA0053">
        <w:t xml:space="preserve"> </w:t>
      </w:r>
      <w:r w:rsidR="00EC4CB2">
        <w:t xml:space="preserve">se </w:t>
      </w:r>
      <w:r w:rsidR="00BA0053">
        <w:t>reporta</w:t>
      </w:r>
      <w:r w:rsidRPr="000A6C8A">
        <w:t xml:space="preserve"> el avance en la gestión frente a la implementación del programa para la presente vigencia</w:t>
      </w:r>
      <w:r w:rsidR="00BA0053">
        <w:t xml:space="preserve">, relacionando </w:t>
      </w:r>
      <w:r w:rsidRPr="000A6C8A">
        <w:t xml:space="preserve">la información </w:t>
      </w:r>
      <w:r w:rsidR="00BA0053">
        <w:t>que corresponde a:</w:t>
      </w:r>
      <w:r w:rsidRPr="000A6C8A">
        <w:t xml:space="preserve"> fecha de inicio de atención, cobertura proyectada, estado de contratación</w:t>
      </w:r>
      <w:r w:rsidR="00BA0053">
        <w:t>, conforme a los</w:t>
      </w:r>
      <w:r w:rsidRPr="000A6C8A">
        <w:t xml:space="preserve"> datos reportados </w:t>
      </w:r>
      <w:bookmarkStart w:id="0" w:name="_Hlk97926106"/>
      <w:r w:rsidRPr="000A6C8A">
        <w:t xml:space="preserve">por las </w:t>
      </w:r>
      <w:bookmarkEnd w:id="0"/>
      <w:r w:rsidR="004C7EDC" w:rsidRPr="004C7EDC">
        <w:rPr>
          <w:b/>
          <w:bCs/>
        </w:rPr>
        <w:t>07</w:t>
      </w:r>
      <w:r w:rsidR="004C7EDC">
        <w:rPr>
          <w:b/>
          <w:bCs/>
        </w:rPr>
        <w:t xml:space="preserve"> de</w:t>
      </w:r>
      <w:r w:rsidR="004C7EDC" w:rsidRPr="004C7EDC">
        <w:rPr>
          <w:b/>
          <w:bCs/>
        </w:rPr>
        <w:t xml:space="preserve"> abril </w:t>
      </w:r>
      <w:r w:rsidR="00DD3EC4" w:rsidRPr="004C7EDC">
        <w:rPr>
          <w:b/>
          <w:bCs/>
        </w:rPr>
        <w:t xml:space="preserve">de </w:t>
      </w:r>
      <w:r w:rsidRPr="004C7EDC">
        <w:rPr>
          <w:b/>
          <w:bCs/>
        </w:rPr>
        <w:t>2022.</w:t>
      </w:r>
    </w:p>
    <w:p w14:paraId="30BAEC38" w14:textId="77777777" w:rsidR="00686EA4" w:rsidRPr="006F2B90" w:rsidRDefault="00686EA4" w:rsidP="00D419A4">
      <w:pPr>
        <w:ind w:left="-709"/>
        <w:jc w:val="both"/>
        <w:rPr>
          <w:sz w:val="14"/>
          <w:szCs w:val="14"/>
        </w:rPr>
      </w:pPr>
    </w:p>
    <w:p w14:paraId="3534BC9D" w14:textId="77777777" w:rsidR="00DD4959" w:rsidRDefault="00DD4959" w:rsidP="00D419A4">
      <w:pPr>
        <w:ind w:left="-709"/>
        <w:jc w:val="both"/>
      </w:pPr>
    </w:p>
    <w:p w14:paraId="41CC927C" w14:textId="1C5AE2B7" w:rsidR="005B4A89" w:rsidRDefault="00686EA4" w:rsidP="00D419A4">
      <w:pPr>
        <w:ind w:left="-709"/>
        <w:jc w:val="both"/>
      </w:pPr>
      <w:r w:rsidRPr="000A6C8A">
        <w:t xml:space="preserve">A </w:t>
      </w:r>
      <w:r w:rsidR="00061478">
        <w:t xml:space="preserve">corte de </w:t>
      </w:r>
      <w:r w:rsidR="00BC7632">
        <w:t xml:space="preserve">07 de abril </w:t>
      </w:r>
      <w:r w:rsidR="00D053D6">
        <w:t>inicia</w:t>
      </w:r>
      <w:r w:rsidR="00061478">
        <w:t>ron</w:t>
      </w:r>
      <w:r w:rsidRPr="000A6C8A">
        <w:t xml:space="preserve"> calendario académico </w:t>
      </w:r>
      <w:r w:rsidR="005B4A89">
        <w:t xml:space="preserve">las </w:t>
      </w:r>
      <w:r w:rsidRPr="00061478">
        <w:t xml:space="preserve">96 ETC y </w:t>
      </w:r>
      <w:r w:rsidR="00EC4CB2">
        <w:t xml:space="preserve">de estas </w:t>
      </w:r>
      <w:r w:rsidRPr="00061478">
        <w:t>reporta</w:t>
      </w:r>
      <w:r w:rsidR="00061478">
        <w:t xml:space="preserve">n </w:t>
      </w:r>
      <w:r w:rsidRPr="00061478">
        <w:t xml:space="preserve">inicio de </w:t>
      </w:r>
      <w:r w:rsidR="00061478">
        <w:t xml:space="preserve">la </w:t>
      </w:r>
      <w:r w:rsidRPr="00061478">
        <w:t xml:space="preserve">atención </w:t>
      </w:r>
      <w:r w:rsidR="00BA0053" w:rsidRPr="00061478">
        <w:t>PAE</w:t>
      </w:r>
      <w:r w:rsidRPr="00061478">
        <w:t xml:space="preserve"> </w:t>
      </w:r>
      <w:r w:rsidR="004C7EDC">
        <w:rPr>
          <w:b/>
          <w:bCs/>
        </w:rPr>
        <w:t xml:space="preserve">90 </w:t>
      </w:r>
      <w:r w:rsidR="00061478" w:rsidRPr="00F502D9">
        <w:rPr>
          <w:b/>
          <w:bCs/>
        </w:rPr>
        <w:t>ETC</w:t>
      </w:r>
      <w:r w:rsidR="00061478" w:rsidRPr="00061478">
        <w:t>.</w:t>
      </w:r>
    </w:p>
    <w:p w14:paraId="4F6CBCAA" w14:textId="77777777" w:rsidR="00EC4CB2" w:rsidRDefault="00EC4CB2" w:rsidP="00D419A4">
      <w:pPr>
        <w:ind w:left="-709"/>
        <w:jc w:val="both"/>
      </w:pPr>
    </w:p>
    <w:p w14:paraId="1706A4D9" w14:textId="09FC4BE7" w:rsidR="00F3679E" w:rsidRPr="006F2B90" w:rsidRDefault="00061478" w:rsidP="00F915BB">
      <w:pPr>
        <w:ind w:left="-709"/>
        <w:jc w:val="both"/>
        <w:rPr>
          <w:sz w:val="10"/>
          <w:szCs w:val="10"/>
        </w:rPr>
      </w:pPr>
      <w:r w:rsidRPr="00346DC1">
        <w:rPr>
          <w:b/>
          <w:bCs/>
          <w:color w:val="1F3864" w:themeColor="accent5" w:themeShade="80"/>
        </w:rPr>
        <w:lastRenderedPageBreak/>
        <w:t>E</w:t>
      </w:r>
      <w:r w:rsidR="00686EA4" w:rsidRPr="00346DC1">
        <w:rPr>
          <w:b/>
          <w:bCs/>
          <w:color w:val="1F3864" w:themeColor="accent5" w:themeShade="80"/>
        </w:rPr>
        <w:t xml:space="preserve">l cuadro No. </w:t>
      </w:r>
      <w:r w:rsidR="005B4A89" w:rsidRPr="00346DC1">
        <w:rPr>
          <w:b/>
          <w:bCs/>
          <w:color w:val="1F3864" w:themeColor="accent5" w:themeShade="80"/>
        </w:rPr>
        <w:t>1 presenta</w:t>
      </w:r>
      <w:r w:rsidRPr="00346DC1">
        <w:rPr>
          <w:b/>
          <w:bCs/>
          <w:color w:val="1F3864" w:themeColor="accent5" w:themeShade="80"/>
        </w:rPr>
        <w:t xml:space="preserve"> </w:t>
      </w:r>
      <w:r w:rsidR="00D053D6" w:rsidRPr="00346DC1">
        <w:rPr>
          <w:b/>
          <w:bCs/>
          <w:color w:val="1F3864" w:themeColor="accent5" w:themeShade="80"/>
        </w:rPr>
        <w:t xml:space="preserve">las </w:t>
      </w:r>
      <w:r w:rsidR="004C7EDC">
        <w:rPr>
          <w:b/>
          <w:bCs/>
        </w:rPr>
        <w:t>90</w:t>
      </w:r>
      <w:r w:rsidR="00EC4CB2" w:rsidRPr="002E400D">
        <w:rPr>
          <w:b/>
          <w:bCs/>
        </w:rPr>
        <w:t xml:space="preserve"> </w:t>
      </w:r>
      <w:r w:rsidR="00D053D6" w:rsidRPr="002E400D">
        <w:rPr>
          <w:b/>
          <w:bCs/>
        </w:rPr>
        <w:t xml:space="preserve">Entidades </w:t>
      </w:r>
      <w:r w:rsidR="00D053D6" w:rsidRPr="00346DC1">
        <w:rPr>
          <w:b/>
          <w:bCs/>
          <w:color w:val="1F3864" w:themeColor="accent5" w:themeShade="80"/>
        </w:rPr>
        <w:t>con inicio</w:t>
      </w:r>
      <w:r w:rsidR="00686EA4" w:rsidRPr="00346DC1">
        <w:rPr>
          <w:b/>
          <w:bCs/>
          <w:color w:val="1F3864" w:themeColor="accent5" w:themeShade="80"/>
        </w:rPr>
        <w:t xml:space="preserve"> de </w:t>
      </w:r>
      <w:r w:rsidR="00D053D6" w:rsidRPr="00346DC1">
        <w:rPr>
          <w:b/>
          <w:bCs/>
          <w:color w:val="1F3864" w:themeColor="accent5" w:themeShade="80"/>
        </w:rPr>
        <w:t xml:space="preserve">atención y </w:t>
      </w:r>
      <w:r w:rsidR="00F915BB">
        <w:rPr>
          <w:b/>
          <w:bCs/>
          <w:color w:val="1F3864" w:themeColor="accent5" w:themeShade="80"/>
        </w:rPr>
        <w:t>6</w:t>
      </w:r>
      <w:r w:rsidR="00F502D9" w:rsidRPr="002E400D">
        <w:rPr>
          <w:b/>
          <w:bCs/>
        </w:rPr>
        <w:t xml:space="preserve"> </w:t>
      </w:r>
      <w:r w:rsidR="00D053D6" w:rsidRPr="002E400D">
        <w:rPr>
          <w:b/>
          <w:bCs/>
        </w:rPr>
        <w:t xml:space="preserve">ETC </w:t>
      </w:r>
      <w:r w:rsidR="00D053D6" w:rsidRPr="00346DC1">
        <w:rPr>
          <w:b/>
          <w:bCs/>
          <w:color w:val="1F3864" w:themeColor="accent5" w:themeShade="80"/>
        </w:rPr>
        <w:t>que no han iniciado la prestación del servicio de alimentación escolar</w:t>
      </w:r>
      <w:r w:rsidR="005B4A89" w:rsidRPr="00346DC1">
        <w:rPr>
          <w:b/>
          <w:bCs/>
          <w:color w:val="1F3864" w:themeColor="accent5" w:themeShade="80"/>
        </w:rPr>
        <w:t>.</w:t>
      </w:r>
      <w:r w:rsidR="00091278" w:rsidRPr="00346DC1">
        <w:rPr>
          <w:b/>
          <w:bCs/>
          <w:color w:val="1F3864" w:themeColor="accent5" w:themeShade="80"/>
        </w:rPr>
        <w:t xml:space="preserve"> </w:t>
      </w:r>
    </w:p>
    <w:p w14:paraId="4F862455" w14:textId="25A9D670" w:rsidR="00686EA4" w:rsidRDefault="00686EA4" w:rsidP="007B18CC">
      <w:pPr>
        <w:ind w:left="-709"/>
        <w:rPr>
          <w:sz w:val="20"/>
          <w:szCs w:val="20"/>
        </w:rPr>
      </w:pPr>
      <w:r w:rsidRPr="000A6C8A">
        <w:rPr>
          <w:b/>
          <w:bCs/>
          <w:sz w:val="20"/>
          <w:szCs w:val="20"/>
        </w:rPr>
        <w:t xml:space="preserve">Cuadro No. 1   </w:t>
      </w:r>
      <w:r w:rsidR="005B4A89" w:rsidRPr="005B4A89">
        <w:rPr>
          <w:sz w:val="20"/>
          <w:szCs w:val="20"/>
        </w:rPr>
        <w:t xml:space="preserve">ETC con </w:t>
      </w:r>
      <w:r w:rsidR="005B4A89">
        <w:rPr>
          <w:sz w:val="20"/>
          <w:szCs w:val="20"/>
        </w:rPr>
        <w:t>i</w:t>
      </w:r>
      <w:r w:rsidR="005B4A89" w:rsidRPr="005B4A89">
        <w:rPr>
          <w:sz w:val="20"/>
          <w:szCs w:val="20"/>
        </w:rPr>
        <w:t>nicio</w:t>
      </w:r>
      <w:r w:rsidRPr="005B4A89">
        <w:rPr>
          <w:sz w:val="20"/>
          <w:szCs w:val="20"/>
        </w:rPr>
        <w:t xml:space="preserve"> </w:t>
      </w:r>
      <w:r w:rsidRPr="000A6C8A">
        <w:rPr>
          <w:sz w:val="20"/>
          <w:szCs w:val="20"/>
        </w:rPr>
        <w:t>de atención PAE</w:t>
      </w:r>
      <w:r w:rsidR="00D053D6">
        <w:rPr>
          <w:sz w:val="20"/>
          <w:szCs w:val="20"/>
        </w:rPr>
        <w:t xml:space="preserve"> </w:t>
      </w:r>
    </w:p>
    <w:p w14:paraId="728095FB" w14:textId="77777777" w:rsidR="007B18CC" w:rsidRPr="007B18CC" w:rsidRDefault="007B18CC" w:rsidP="007B18CC">
      <w:pPr>
        <w:ind w:left="-709"/>
        <w:rPr>
          <w:sz w:val="4"/>
          <w:szCs w:val="4"/>
        </w:rPr>
      </w:pPr>
    </w:p>
    <w:tbl>
      <w:tblPr>
        <w:tblStyle w:val="Tablaconcuadrcula"/>
        <w:tblW w:w="10348" w:type="dxa"/>
        <w:tblInd w:w="-714" w:type="dxa"/>
        <w:tblLook w:val="04A0" w:firstRow="1" w:lastRow="0" w:firstColumn="1" w:lastColumn="0" w:noHBand="0" w:noVBand="1"/>
      </w:tblPr>
      <w:tblGrid>
        <w:gridCol w:w="1025"/>
        <w:gridCol w:w="9323"/>
      </w:tblGrid>
      <w:tr w:rsidR="00686EA4" w:rsidRPr="001F0A92" w14:paraId="17E3975B" w14:textId="77777777" w:rsidTr="00AA2FEB">
        <w:trPr>
          <w:trHeight w:val="1449"/>
        </w:trPr>
        <w:tc>
          <w:tcPr>
            <w:tcW w:w="851" w:type="dxa"/>
            <w:shd w:val="clear" w:color="auto" w:fill="ACB9CA" w:themeFill="text2" w:themeFillTint="66"/>
            <w:vAlign w:val="center"/>
          </w:tcPr>
          <w:p w14:paraId="243315E6" w14:textId="74EEE688" w:rsidR="001F0A92" w:rsidRDefault="00686EA4" w:rsidP="00DD3EC4">
            <w:pPr>
              <w:ind w:left="-709" w:firstLine="709"/>
              <w:jc w:val="center"/>
              <w:rPr>
                <w:rFonts w:asciiTheme="minorHAnsi" w:eastAsia="+mn-ea" w:hAnsiTheme="minorHAnsi" w:cstheme="minorHAnsi"/>
                <w:b/>
                <w:bCs/>
                <w:kern w:val="24"/>
                <w:sz w:val="18"/>
                <w:szCs w:val="18"/>
                <w:lang w:val="es-CO"/>
              </w:rPr>
            </w:pPr>
            <w:r w:rsidRPr="001F0A92">
              <w:rPr>
                <w:rFonts w:asciiTheme="minorHAnsi" w:eastAsia="+mn-ea" w:hAnsiTheme="minorHAnsi" w:cstheme="minorHAnsi"/>
                <w:b/>
                <w:bCs/>
                <w:kern w:val="24"/>
                <w:sz w:val="18"/>
                <w:szCs w:val="18"/>
                <w:lang w:val="es-CO"/>
              </w:rPr>
              <w:t xml:space="preserve">INICIARON </w:t>
            </w:r>
          </w:p>
          <w:p w14:paraId="06BF6F3A" w14:textId="3F19A096" w:rsidR="00686EA4" w:rsidRPr="001F0A92" w:rsidRDefault="00474073" w:rsidP="00DD3EC4">
            <w:pPr>
              <w:ind w:left="-709" w:firstLine="709"/>
              <w:jc w:val="center"/>
              <w:rPr>
                <w:rFonts w:asciiTheme="minorHAnsi" w:hAnsiTheme="minorHAnsi" w:cstheme="minorHAnsi"/>
                <w:b/>
                <w:bCs/>
                <w:sz w:val="18"/>
                <w:szCs w:val="18"/>
                <w:lang w:val="es-CO"/>
              </w:rPr>
            </w:pPr>
            <w:r>
              <w:rPr>
                <w:rFonts w:asciiTheme="minorHAnsi" w:eastAsia="+mn-ea" w:hAnsiTheme="minorHAnsi" w:cstheme="minorHAnsi"/>
                <w:b/>
                <w:bCs/>
                <w:kern w:val="24"/>
                <w:sz w:val="18"/>
                <w:szCs w:val="18"/>
                <w:lang w:val="es-CO"/>
              </w:rPr>
              <w:t>90</w:t>
            </w:r>
            <w:r w:rsidR="00D56CF6">
              <w:rPr>
                <w:rFonts w:asciiTheme="minorHAnsi" w:eastAsia="+mn-ea" w:hAnsiTheme="minorHAnsi" w:cstheme="minorHAnsi"/>
                <w:b/>
                <w:bCs/>
                <w:kern w:val="24"/>
                <w:sz w:val="18"/>
                <w:szCs w:val="18"/>
                <w:lang w:val="es-CO"/>
              </w:rPr>
              <w:t xml:space="preserve"> </w:t>
            </w:r>
            <w:r w:rsidR="00686EA4" w:rsidRPr="001F0A92">
              <w:rPr>
                <w:rFonts w:asciiTheme="minorHAnsi" w:eastAsia="+mn-ea" w:hAnsiTheme="minorHAnsi" w:cstheme="minorHAnsi"/>
                <w:b/>
                <w:bCs/>
                <w:kern w:val="24"/>
                <w:sz w:val="18"/>
                <w:szCs w:val="18"/>
                <w:lang w:val="es-CO"/>
              </w:rPr>
              <w:t xml:space="preserve">ETC </w:t>
            </w:r>
          </w:p>
        </w:tc>
        <w:tc>
          <w:tcPr>
            <w:tcW w:w="9497" w:type="dxa"/>
            <w:vAlign w:val="center"/>
          </w:tcPr>
          <w:p w14:paraId="0FD2751D" w14:textId="140EF124" w:rsidR="00686EA4" w:rsidRPr="001F0A92" w:rsidRDefault="006C1CE9" w:rsidP="006F2B90">
            <w:pPr>
              <w:jc w:val="center"/>
              <w:rPr>
                <w:rFonts w:asciiTheme="minorHAnsi" w:hAnsiTheme="minorHAnsi" w:cstheme="minorHAnsi"/>
                <w:sz w:val="18"/>
                <w:szCs w:val="18"/>
                <w:lang w:val="es-CO"/>
              </w:rPr>
            </w:pPr>
            <w:r w:rsidRPr="006F2B90">
              <w:rPr>
                <w:rFonts w:asciiTheme="minorHAnsi" w:hAnsiTheme="minorHAnsi" w:cstheme="minorHAnsi"/>
                <w:sz w:val="16"/>
                <w:szCs w:val="16"/>
                <w:lang w:val="es-CO"/>
              </w:rPr>
              <w:t xml:space="preserve">Amazonas;  Antioquia;  Apartadó;  Arauca;  Armenia;  Atlántico;  Barrancabermeja;  Barranquilla;  Bello;  Bogotá;  Bolívar;  Boyacá; </w:t>
            </w:r>
            <w:r w:rsidR="006F2B90">
              <w:rPr>
                <w:rFonts w:asciiTheme="minorHAnsi" w:hAnsiTheme="minorHAnsi" w:cstheme="minorHAnsi"/>
                <w:sz w:val="16"/>
                <w:szCs w:val="16"/>
                <w:lang w:val="es-CO"/>
              </w:rPr>
              <w:t xml:space="preserve"> </w:t>
            </w:r>
            <w:r w:rsidRPr="006F2B90">
              <w:rPr>
                <w:rFonts w:asciiTheme="minorHAnsi" w:hAnsiTheme="minorHAnsi" w:cstheme="minorHAnsi"/>
                <w:sz w:val="16"/>
                <w:szCs w:val="16"/>
                <w:lang w:val="es-CO"/>
              </w:rPr>
              <w:t xml:space="preserve">Bucaramanga;  Buga;  Caldas;  Cali;  </w:t>
            </w:r>
            <w:r w:rsidR="00F915BB">
              <w:rPr>
                <w:rFonts w:asciiTheme="minorHAnsi" w:hAnsiTheme="minorHAnsi" w:cstheme="minorHAnsi"/>
                <w:sz w:val="16"/>
                <w:szCs w:val="16"/>
                <w:lang w:val="es-CO"/>
              </w:rPr>
              <w:t xml:space="preserve">Caquetá, </w:t>
            </w:r>
            <w:r w:rsidRPr="006F2B90">
              <w:rPr>
                <w:rFonts w:asciiTheme="minorHAnsi" w:hAnsiTheme="minorHAnsi" w:cstheme="minorHAnsi"/>
                <w:sz w:val="16"/>
                <w:szCs w:val="16"/>
                <w:lang w:val="es-CO"/>
              </w:rPr>
              <w:t xml:space="preserve">Cartagena;  Cartago;  Casanare;  Cauca; </w:t>
            </w:r>
            <w:r w:rsidR="00F915BB">
              <w:rPr>
                <w:rFonts w:asciiTheme="minorHAnsi" w:hAnsiTheme="minorHAnsi" w:cstheme="minorHAnsi"/>
                <w:sz w:val="16"/>
                <w:szCs w:val="16"/>
                <w:lang w:val="es-CO"/>
              </w:rPr>
              <w:t xml:space="preserve">Cesar; </w:t>
            </w:r>
            <w:r w:rsidRPr="006F2B90">
              <w:rPr>
                <w:rFonts w:asciiTheme="minorHAnsi" w:hAnsiTheme="minorHAnsi" w:cstheme="minorHAnsi"/>
                <w:sz w:val="16"/>
                <w:szCs w:val="16"/>
                <w:lang w:val="es-CO"/>
              </w:rPr>
              <w:t xml:space="preserve"> Chía;  Chocó;  Ciénaga;  </w:t>
            </w:r>
            <w:r w:rsidR="00F502D9">
              <w:rPr>
                <w:rFonts w:asciiTheme="minorHAnsi" w:hAnsiTheme="minorHAnsi" w:cstheme="minorHAnsi"/>
                <w:sz w:val="16"/>
                <w:szCs w:val="16"/>
                <w:lang w:val="es-CO"/>
              </w:rPr>
              <w:t xml:space="preserve">Córdoba, </w:t>
            </w:r>
            <w:r w:rsidRPr="006F2B90">
              <w:rPr>
                <w:rFonts w:asciiTheme="minorHAnsi" w:hAnsiTheme="minorHAnsi" w:cstheme="minorHAnsi"/>
                <w:sz w:val="16"/>
                <w:szCs w:val="16"/>
                <w:lang w:val="es-CO"/>
              </w:rPr>
              <w:t xml:space="preserve">Cundinamarca;  Dosquebradas;  Duitama;  Envigado;  Facatativá;  Florencia;  Floridablanca;  Funza;  Fusagasugá;  Girardot;  Girón;  Guainía;  Guaviare;  Huila;  Ibagué; Ipiales;  Itagüí;  Jamundí;  La Guajira;  Lorica;  Magangué;  Maicao; </w:t>
            </w:r>
            <w:r w:rsidR="006F2B90">
              <w:rPr>
                <w:rFonts w:asciiTheme="minorHAnsi" w:hAnsiTheme="minorHAnsi" w:cstheme="minorHAnsi"/>
                <w:sz w:val="16"/>
                <w:szCs w:val="16"/>
                <w:lang w:val="es-CO"/>
              </w:rPr>
              <w:t xml:space="preserve"> </w:t>
            </w:r>
            <w:r w:rsidRPr="006F2B90">
              <w:rPr>
                <w:rFonts w:asciiTheme="minorHAnsi" w:hAnsiTheme="minorHAnsi" w:cstheme="minorHAnsi"/>
                <w:sz w:val="16"/>
                <w:szCs w:val="16"/>
                <w:lang w:val="es-CO"/>
              </w:rPr>
              <w:t xml:space="preserve">Malambo;  Manizales;  Medellín;  Meta;  Montería;  Mosquera;  Nariño;  Norte de Santander;  Palmira;  Pasto;  Pereira;  Piedecuesta;  </w:t>
            </w:r>
            <w:r w:rsidR="00F502D9">
              <w:rPr>
                <w:rFonts w:asciiTheme="minorHAnsi" w:hAnsiTheme="minorHAnsi" w:cstheme="minorHAnsi"/>
                <w:sz w:val="16"/>
                <w:szCs w:val="16"/>
                <w:lang w:val="es-CO"/>
              </w:rPr>
              <w:t xml:space="preserve">Pitalito, </w:t>
            </w:r>
            <w:r w:rsidRPr="006F2B90">
              <w:rPr>
                <w:rFonts w:asciiTheme="minorHAnsi" w:hAnsiTheme="minorHAnsi" w:cstheme="minorHAnsi"/>
                <w:sz w:val="16"/>
                <w:szCs w:val="16"/>
                <w:lang w:val="es-CO"/>
              </w:rPr>
              <w:t xml:space="preserve">Putumayo;  Quibdó; Quindío;  Rionegro;  Risaralda;  Sabaneta;  Sahagún;  San Andrés;  Tuluá;  Santander;  </w:t>
            </w:r>
            <w:r w:rsidR="00F502D9">
              <w:rPr>
                <w:rFonts w:asciiTheme="minorHAnsi" w:hAnsiTheme="minorHAnsi" w:cstheme="minorHAnsi"/>
                <w:sz w:val="16"/>
                <w:szCs w:val="16"/>
                <w:lang w:val="es-CO"/>
              </w:rPr>
              <w:t xml:space="preserve">Santa Marta, </w:t>
            </w:r>
            <w:r w:rsidRPr="006F2B90">
              <w:rPr>
                <w:rFonts w:asciiTheme="minorHAnsi" w:hAnsiTheme="minorHAnsi" w:cstheme="minorHAnsi"/>
                <w:sz w:val="16"/>
                <w:szCs w:val="16"/>
                <w:lang w:val="es-CO"/>
              </w:rPr>
              <w:t xml:space="preserve">Soacha;  Sogamoso;  Soledad;  Tolima;  Tuluá;  Tumaco;  Tunja;  Turbo;  Uribia;  Valle del Cauca;  Vaupés;  </w:t>
            </w:r>
            <w:r w:rsidR="00D56CF6">
              <w:rPr>
                <w:rFonts w:asciiTheme="minorHAnsi" w:hAnsiTheme="minorHAnsi" w:cstheme="minorHAnsi"/>
                <w:sz w:val="16"/>
                <w:szCs w:val="16"/>
                <w:lang w:val="es-CO"/>
              </w:rPr>
              <w:t xml:space="preserve">Valledupar, </w:t>
            </w:r>
            <w:r w:rsidRPr="006F2B90">
              <w:rPr>
                <w:rFonts w:asciiTheme="minorHAnsi" w:hAnsiTheme="minorHAnsi" w:cstheme="minorHAnsi"/>
                <w:sz w:val="16"/>
                <w:szCs w:val="16"/>
                <w:lang w:val="es-CO"/>
              </w:rPr>
              <w:t>Vichada;  Villavicencio;  Yopal;  Yumbo;  Zipaquirá</w:t>
            </w:r>
          </w:p>
        </w:tc>
      </w:tr>
      <w:tr w:rsidR="00686EA4" w:rsidRPr="001F0A92" w14:paraId="38BDC5DF" w14:textId="77777777" w:rsidTr="00343499">
        <w:trPr>
          <w:trHeight w:val="541"/>
        </w:trPr>
        <w:tc>
          <w:tcPr>
            <w:tcW w:w="851" w:type="dxa"/>
            <w:shd w:val="clear" w:color="auto" w:fill="F2F2F2" w:themeFill="background1" w:themeFillShade="F2"/>
            <w:vAlign w:val="center"/>
          </w:tcPr>
          <w:p w14:paraId="11322BEB" w14:textId="305F0FA2" w:rsidR="00686EA4" w:rsidRPr="007B18CC" w:rsidRDefault="007B18CC" w:rsidP="00DD3EC4">
            <w:pPr>
              <w:ind w:left="-709" w:firstLine="709"/>
              <w:jc w:val="center"/>
              <w:textAlignment w:val="baseline"/>
              <w:rPr>
                <w:rFonts w:asciiTheme="minorHAnsi" w:eastAsia="+mn-ea" w:hAnsiTheme="minorHAnsi" w:cstheme="minorHAnsi"/>
                <w:b/>
                <w:bCs/>
                <w:color w:val="1F3864" w:themeColor="accent5" w:themeShade="80"/>
                <w:kern w:val="24"/>
                <w:sz w:val="18"/>
                <w:szCs w:val="18"/>
                <w:lang w:val="es-CO"/>
              </w:rPr>
            </w:pPr>
            <w:r w:rsidRPr="007B18CC">
              <w:rPr>
                <w:rFonts w:asciiTheme="minorHAnsi" w:eastAsia="+mn-ea" w:hAnsiTheme="minorHAnsi" w:cstheme="minorHAnsi"/>
                <w:b/>
                <w:bCs/>
                <w:color w:val="1F3864" w:themeColor="accent5" w:themeShade="80"/>
                <w:kern w:val="24"/>
                <w:sz w:val="18"/>
                <w:szCs w:val="18"/>
                <w:lang w:val="es-CO"/>
              </w:rPr>
              <w:t>SIN INICIO</w:t>
            </w:r>
          </w:p>
          <w:p w14:paraId="4CCB9024" w14:textId="263F1F83" w:rsidR="00686EA4" w:rsidRPr="001F0A92" w:rsidRDefault="00474073" w:rsidP="00DD3EC4">
            <w:pPr>
              <w:ind w:left="-709" w:firstLine="709"/>
              <w:jc w:val="center"/>
              <w:textAlignment w:val="baseline"/>
              <w:rPr>
                <w:rFonts w:asciiTheme="minorHAnsi" w:eastAsia="+mn-ea" w:hAnsiTheme="minorHAnsi" w:cstheme="minorHAnsi"/>
                <w:b/>
                <w:bCs/>
                <w:kern w:val="24"/>
                <w:sz w:val="18"/>
                <w:szCs w:val="18"/>
                <w:lang w:val="es-CO"/>
              </w:rPr>
            </w:pPr>
            <w:r>
              <w:rPr>
                <w:rFonts w:asciiTheme="minorHAnsi" w:eastAsia="+mn-ea" w:hAnsiTheme="minorHAnsi" w:cstheme="minorHAnsi"/>
                <w:b/>
                <w:bCs/>
                <w:color w:val="1F3864" w:themeColor="accent5" w:themeShade="80"/>
                <w:kern w:val="24"/>
                <w:sz w:val="18"/>
                <w:szCs w:val="18"/>
                <w:lang w:val="es-CO"/>
              </w:rPr>
              <w:t xml:space="preserve">6 </w:t>
            </w:r>
            <w:r w:rsidR="00686EA4" w:rsidRPr="007B18CC">
              <w:rPr>
                <w:rFonts w:asciiTheme="minorHAnsi" w:eastAsia="+mn-ea" w:hAnsiTheme="minorHAnsi" w:cstheme="minorHAnsi"/>
                <w:b/>
                <w:bCs/>
                <w:color w:val="1F3864" w:themeColor="accent5" w:themeShade="80"/>
                <w:kern w:val="24"/>
                <w:sz w:val="18"/>
                <w:szCs w:val="18"/>
                <w:lang w:val="es-CO"/>
              </w:rPr>
              <w:t xml:space="preserve">ETC </w:t>
            </w:r>
          </w:p>
        </w:tc>
        <w:tc>
          <w:tcPr>
            <w:tcW w:w="9497" w:type="dxa"/>
            <w:vAlign w:val="center"/>
          </w:tcPr>
          <w:p w14:paraId="2B6ABC12" w14:textId="20A51C8D" w:rsidR="00C867B7" w:rsidRPr="00AA2FEB" w:rsidRDefault="00F502D9" w:rsidP="00C867B7">
            <w:pPr>
              <w:ind w:left="-709" w:firstLine="709"/>
              <w:jc w:val="center"/>
              <w:rPr>
                <w:rFonts w:asciiTheme="minorHAnsi" w:hAnsiTheme="minorHAnsi" w:cstheme="minorHAnsi"/>
                <w:b/>
                <w:bCs/>
                <w:color w:val="1F3864" w:themeColor="accent5" w:themeShade="80"/>
                <w:sz w:val="18"/>
                <w:szCs w:val="18"/>
                <w:lang w:val="es-CO"/>
              </w:rPr>
            </w:pPr>
            <w:r w:rsidRPr="00F502D9">
              <w:rPr>
                <w:rFonts w:asciiTheme="minorHAnsi" w:hAnsiTheme="minorHAnsi" w:cstheme="minorHAnsi"/>
                <w:b/>
                <w:bCs/>
                <w:color w:val="1F3864" w:themeColor="accent5" w:themeShade="80"/>
                <w:sz w:val="18"/>
                <w:szCs w:val="18"/>
                <w:lang w:val="es-CO"/>
              </w:rPr>
              <w:t xml:space="preserve">Buenaventura,  </w:t>
            </w:r>
            <w:r>
              <w:rPr>
                <w:rFonts w:asciiTheme="minorHAnsi" w:hAnsiTheme="minorHAnsi" w:cstheme="minorHAnsi"/>
                <w:b/>
                <w:bCs/>
                <w:color w:val="1F3864" w:themeColor="accent5" w:themeShade="80"/>
                <w:sz w:val="18"/>
                <w:szCs w:val="18"/>
                <w:lang w:val="es-CO"/>
              </w:rPr>
              <w:t xml:space="preserve">Cúcuta, </w:t>
            </w:r>
            <w:r w:rsidRPr="00F502D9">
              <w:rPr>
                <w:rFonts w:asciiTheme="minorHAnsi" w:hAnsiTheme="minorHAnsi" w:cstheme="minorHAnsi"/>
                <w:b/>
                <w:bCs/>
                <w:color w:val="1F3864" w:themeColor="accent5" w:themeShade="80"/>
                <w:sz w:val="18"/>
                <w:szCs w:val="18"/>
                <w:lang w:val="es-CO"/>
              </w:rPr>
              <w:t>Magdalena, Neiva, Sincelejo</w:t>
            </w:r>
            <w:r>
              <w:rPr>
                <w:rFonts w:asciiTheme="minorHAnsi" w:hAnsiTheme="minorHAnsi" w:cstheme="minorHAnsi"/>
                <w:b/>
                <w:bCs/>
                <w:color w:val="1F3864" w:themeColor="accent5" w:themeShade="80"/>
                <w:sz w:val="18"/>
                <w:szCs w:val="18"/>
                <w:lang w:val="es-CO"/>
              </w:rPr>
              <w:t xml:space="preserve">, </w:t>
            </w:r>
            <w:r w:rsidRPr="00F502D9">
              <w:rPr>
                <w:rFonts w:asciiTheme="minorHAnsi" w:hAnsiTheme="minorHAnsi" w:cstheme="minorHAnsi"/>
                <w:b/>
                <w:bCs/>
                <w:color w:val="1F3864" w:themeColor="accent5" w:themeShade="80"/>
                <w:sz w:val="18"/>
                <w:szCs w:val="18"/>
                <w:lang w:val="es-CO"/>
              </w:rPr>
              <w:t>Sucre</w:t>
            </w:r>
          </w:p>
        </w:tc>
      </w:tr>
    </w:tbl>
    <w:p w14:paraId="635CD2DA" w14:textId="77777777" w:rsidR="00686EA4" w:rsidRPr="007A3281" w:rsidRDefault="00686EA4" w:rsidP="00DD3EC4">
      <w:pPr>
        <w:ind w:left="-709" w:firstLine="709"/>
        <w:rPr>
          <w:sz w:val="6"/>
          <w:szCs w:val="6"/>
        </w:rPr>
      </w:pPr>
    </w:p>
    <w:p w14:paraId="7B11E309" w14:textId="011C3531" w:rsidR="00686EA4" w:rsidRPr="000A6C8A" w:rsidRDefault="00686EA4" w:rsidP="00154E93">
      <w:pPr>
        <w:ind w:left="-709"/>
        <w:jc w:val="both"/>
        <w:rPr>
          <w:i/>
          <w:iCs/>
          <w:sz w:val="20"/>
          <w:szCs w:val="20"/>
        </w:rPr>
      </w:pPr>
      <w:r w:rsidRPr="000A6C8A">
        <w:rPr>
          <w:i/>
          <w:iCs/>
          <w:sz w:val="20"/>
          <w:szCs w:val="20"/>
        </w:rPr>
        <w:t xml:space="preserve">Observaciones con relación al reporte de inicio de atención (*): </w:t>
      </w:r>
    </w:p>
    <w:tbl>
      <w:tblPr>
        <w:tblStyle w:val="Tablaconcuadrcula"/>
        <w:tblW w:w="10348" w:type="dxa"/>
        <w:tblInd w:w="-714" w:type="dxa"/>
        <w:tblLook w:val="04A0" w:firstRow="1" w:lastRow="0" w:firstColumn="1" w:lastColumn="0" w:noHBand="0" w:noVBand="1"/>
      </w:tblPr>
      <w:tblGrid>
        <w:gridCol w:w="1509"/>
        <w:gridCol w:w="8839"/>
      </w:tblGrid>
      <w:tr w:rsidR="00686EA4" w:rsidRPr="00755759" w14:paraId="284AD4DD" w14:textId="77777777" w:rsidTr="00154E93">
        <w:trPr>
          <w:trHeight w:val="59"/>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FDB69" w14:textId="77777777" w:rsidR="00686EA4" w:rsidRPr="005B4A89" w:rsidRDefault="00686EA4" w:rsidP="00DD3EC4">
            <w:pPr>
              <w:ind w:left="-709" w:firstLine="709"/>
              <w:jc w:val="center"/>
              <w:rPr>
                <w:b/>
                <w:bCs/>
                <w:sz w:val="18"/>
                <w:szCs w:val="18"/>
                <w:lang w:val="es-CO"/>
              </w:rPr>
            </w:pPr>
            <w:r w:rsidRPr="005B4A89">
              <w:rPr>
                <w:b/>
                <w:bCs/>
                <w:sz w:val="18"/>
                <w:szCs w:val="18"/>
                <w:lang w:val="es-CO"/>
              </w:rPr>
              <w:t>ETC</w:t>
            </w:r>
          </w:p>
        </w:tc>
        <w:tc>
          <w:tcPr>
            <w:tcW w:w="8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90A73D" w14:textId="77777777" w:rsidR="00686EA4" w:rsidRDefault="00686EA4" w:rsidP="00DD3EC4">
            <w:pPr>
              <w:ind w:left="-709" w:firstLine="709"/>
              <w:jc w:val="center"/>
              <w:rPr>
                <w:b/>
                <w:bCs/>
                <w:sz w:val="18"/>
                <w:szCs w:val="18"/>
                <w:lang w:val="es-CO"/>
              </w:rPr>
            </w:pPr>
            <w:r w:rsidRPr="005B4A89">
              <w:rPr>
                <w:b/>
                <w:bCs/>
                <w:sz w:val="18"/>
                <w:szCs w:val="18"/>
                <w:lang w:val="es-CO"/>
              </w:rPr>
              <w:t>OBSERVACIÓN</w:t>
            </w:r>
          </w:p>
          <w:p w14:paraId="44D130D2" w14:textId="3B2FF9D8" w:rsidR="00EC4CB2" w:rsidRPr="005B4A89" w:rsidRDefault="00EC4CB2" w:rsidP="00DD3EC4">
            <w:pPr>
              <w:ind w:left="-709" w:firstLine="709"/>
              <w:jc w:val="center"/>
              <w:rPr>
                <w:b/>
                <w:bCs/>
                <w:sz w:val="18"/>
                <w:szCs w:val="18"/>
                <w:lang w:val="es-CO"/>
              </w:rPr>
            </w:pPr>
          </w:p>
        </w:tc>
      </w:tr>
      <w:tr w:rsidR="00591CDB" w:rsidRPr="00755759" w14:paraId="4D0620F0" w14:textId="77777777" w:rsidTr="00154E93">
        <w:trPr>
          <w:trHeight w:val="328"/>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D4DD54" w14:textId="77777777" w:rsidR="00591CDB" w:rsidRPr="00202C78" w:rsidRDefault="00591CDB" w:rsidP="00DD3EC4">
            <w:pPr>
              <w:ind w:left="-709" w:firstLine="709"/>
              <w:jc w:val="both"/>
              <w:rPr>
                <w:b/>
                <w:bCs/>
                <w:sz w:val="18"/>
                <w:szCs w:val="18"/>
                <w:lang w:val="es-CO"/>
              </w:rPr>
            </w:pPr>
            <w:r w:rsidRPr="00202C78">
              <w:rPr>
                <w:b/>
                <w:bCs/>
                <w:sz w:val="18"/>
                <w:szCs w:val="18"/>
                <w:lang w:val="es-CO"/>
              </w:rPr>
              <w:t>ANTIOQUIA</w:t>
            </w:r>
          </w:p>
        </w:tc>
        <w:tc>
          <w:tcPr>
            <w:tcW w:w="8839" w:type="dxa"/>
            <w:tcBorders>
              <w:top w:val="single" w:sz="4" w:space="0" w:color="auto"/>
              <w:left w:val="single" w:sz="4" w:space="0" w:color="auto"/>
              <w:bottom w:val="single" w:sz="4" w:space="0" w:color="auto"/>
              <w:right w:val="single" w:sz="4" w:space="0" w:color="auto"/>
            </w:tcBorders>
            <w:vAlign w:val="center"/>
          </w:tcPr>
          <w:p w14:paraId="563BBE73" w14:textId="59B3A85C" w:rsidR="00591CDB" w:rsidRPr="001850A7" w:rsidRDefault="00600C03" w:rsidP="0056696F">
            <w:pPr>
              <w:ind w:left="-4"/>
              <w:jc w:val="both"/>
              <w:rPr>
                <w:sz w:val="18"/>
                <w:szCs w:val="18"/>
                <w:lang w:val="es-CO"/>
              </w:rPr>
            </w:pPr>
            <w:r w:rsidRPr="001850A7">
              <w:rPr>
                <w:sz w:val="18"/>
                <w:szCs w:val="18"/>
                <w:lang w:val="es-CO"/>
              </w:rPr>
              <w:t>Para el corte del 7 de abril reporta el inicio de PAE en 101 Municipios. En los restantes 16 Municipios (Amalfí, Anzá, Betania, Caicedo, Cisneros, Cocorná, Fredonia, Granada, Jardín, Jericó, Olaya, Santa Fé de Antioquia, Santo Domingo, Santa Rosa de Osos, Titiribí, Yondo) se encuentran en proceso de contratación y fase preoperativa.</w:t>
            </w:r>
          </w:p>
        </w:tc>
      </w:tr>
      <w:tr w:rsidR="00A16EB2" w:rsidRPr="00755759" w14:paraId="5E62DFA7" w14:textId="77777777" w:rsidTr="00154E93">
        <w:trPr>
          <w:trHeight w:val="328"/>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0F637" w14:textId="46739203" w:rsidR="00A16EB2" w:rsidRPr="00202C78" w:rsidRDefault="00A16EB2" w:rsidP="00DD3EC4">
            <w:pPr>
              <w:ind w:left="-709" w:firstLine="709"/>
              <w:jc w:val="both"/>
              <w:rPr>
                <w:b/>
                <w:bCs/>
                <w:sz w:val="18"/>
                <w:szCs w:val="18"/>
              </w:rPr>
            </w:pPr>
            <w:r>
              <w:rPr>
                <w:b/>
                <w:bCs/>
                <w:sz w:val="18"/>
                <w:szCs w:val="18"/>
              </w:rPr>
              <w:t>BOYACÁ</w:t>
            </w:r>
          </w:p>
        </w:tc>
        <w:tc>
          <w:tcPr>
            <w:tcW w:w="8839" w:type="dxa"/>
            <w:tcBorders>
              <w:top w:val="single" w:sz="4" w:space="0" w:color="auto"/>
              <w:left w:val="single" w:sz="4" w:space="0" w:color="auto"/>
              <w:bottom w:val="single" w:sz="4" w:space="0" w:color="auto"/>
              <w:right w:val="single" w:sz="4" w:space="0" w:color="auto"/>
            </w:tcBorders>
            <w:vAlign w:val="center"/>
          </w:tcPr>
          <w:p w14:paraId="15C269D5" w14:textId="05764138" w:rsidR="00A16EB2" w:rsidRPr="001850A7" w:rsidRDefault="00600C03" w:rsidP="00F31461">
            <w:pPr>
              <w:ind w:left="-4"/>
              <w:jc w:val="both"/>
              <w:rPr>
                <w:sz w:val="18"/>
                <w:szCs w:val="18"/>
                <w:lang w:val="es-CO"/>
              </w:rPr>
            </w:pPr>
            <w:r w:rsidRPr="001850A7">
              <w:rPr>
                <w:sz w:val="18"/>
                <w:szCs w:val="18"/>
                <w:lang w:val="es-CO"/>
              </w:rPr>
              <w:t>a corte del 7 de abril, reporta que la prestación del servicio de alimentación escolar se encuentra suspendida en los siguientes municipios: Gachantivá, Pajarito, Ramiriquí, Boyacá, y Páez; municipios adjudicados al Operador PROMEDIO</w:t>
            </w:r>
          </w:p>
        </w:tc>
      </w:tr>
      <w:tr w:rsidR="001A7F29" w:rsidRPr="00755759" w14:paraId="32437415" w14:textId="77777777" w:rsidTr="00154E93">
        <w:trPr>
          <w:trHeight w:val="320"/>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A64E2" w14:textId="5873C939" w:rsidR="001A7F29" w:rsidRPr="00202C78" w:rsidRDefault="001A7F29" w:rsidP="001A7F29">
            <w:pPr>
              <w:ind w:left="-709" w:firstLine="709"/>
              <w:jc w:val="both"/>
              <w:rPr>
                <w:b/>
                <w:bCs/>
                <w:sz w:val="18"/>
                <w:szCs w:val="18"/>
                <w:lang w:val="es-CO"/>
              </w:rPr>
            </w:pPr>
            <w:r w:rsidRPr="00202C78">
              <w:rPr>
                <w:b/>
                <w:bCs/>
                <w:sz w:val="18"/>
                <w:szCs w:val="18"/>
                <w:lang w:val="es-CO"/>
              </w:rPr>
              <w:t>CAUCA</w:t>
            </w:r>
          </w:p>
        </w:tc>
        <w:tc>
          <w:tcPr>
            <w:tcW w:w="8839" w:type="dxa"/>
            <w:tcBorders>
              <w:top w:val="single" w:sz="4" w:space="0" w:color="auto"/>
              <w:left w:val="single" w:sz="4" w:space="0" w:color="auto"/>
              <w:bottom w:val="single" w:sz="4" w:space="0" w:color="auto"/>
              <w:right w:val="single" w:sz="4" w:space="0" w:color="auto"/>
            </w:tcBorders>
            <w:vAlign w:val="center"/>
          </w:tcPr>
          <w:p w14:paraId="186D402B" w14:textId="0CBAA97D" w:rsidR="001A7F29" w:rsidRPr="001850A7" w:rsidRDefault="00600C03" w:rsidP="00F31461">
            <w:pPr>
              <w:ind w:hanging="4"/>
              <w:jc w:val="both"/>
              <w:rPr>
                <w:sz w:val="18"/>
                <w:szCs w:val="18"/>
                <w:lang w:val="es-CO"/>
              </w:rPr>
            </w:pPr>
            <w:r w:rsidRPr="001850A7">
              <w:rPr>
                <w:sz w:val="18"/>
                <w:szCs w:val="18"/>
                <w:lang w:val="es-CO"/>
              </w:rPr>
              <w:t xml:space="preserve">Para el reporte del 7 de abril la ETC informa que la prestación del servicio en el departamento para población indígena y para cuatro zonas de población mayoritaria. Para la quinta zona (norte) se adelanta  proceso de Selección abreviada no. DC-SED-SAMC-257-2022, se publicó pliego definitivo el 18/03/2022 y se proyecta adjudicar el 06/04/2022, (no se ha reportado adjudicación en SECOP). Los municipios que se encuentran sin atención a PAE mayoritario a la fecha son: Buenos Aires, Caloto, Caldono, Corinto, </w:t>
            </w:r>
            <w:r w:rsidR="00B14D41" w:rsidRPr="001850A7">
              <w:rPr>
                <w:sz w:val="18"/>
                <w:szCs w:val="18"/>
                <w:lang w:val="es-CO"/>
              </w:rPr>
              <w:t>Guachené</w:t>
            </w:r>
            <w:r w:rsidRPr="001850A7">
              <w:rPr>
                <w:sz w:val="18"/>
                <w:szCs w:val="18"/>
                <w:lang w:val="es-CO"/>
              </w:rPr>
              <w:t>, Miranda, Padilla, Puerto Tejada, Santander de Quilichao, Suarez, Villa Rica</w:t>
            </w:r>
          </w:p>
        </w:tc>
      </w:tr>
      <w:tr w:rsidR="00A400A7" w:rsidRPr="00755759" w14:paraId="07141BA3" w14:textId="77777777" w:rsidTr="00154E93">
        <w:trPr>
          <w:trHeight w:val="320"/>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C0799" w14:textId="128820F9" w:rsidR="00A400A7" w:rsidRPr="00202C78" w:rsidRDefault="00A400A7" w:rsidP="001A7F29">
            <w:pPr>
              <w:ind w:left="-709" w:firstLine="709"/>
              <w:jc w:val="both"/>
              <w:rPr>
                <w:b/>
                <w:bCs/>
                <w:sz w:val="18"/>
                <w:szCs w:val="18"/>
              </w:rPr>
            </w:pPr>
            <w:r>
              <w:rPr>
                <w:b/>
                <w:bCs/>
                <w:sz w:val="18"/>
                <w:szCs w:val="18"/>
              </w:rPr>
              <w:t>CÓRDOBA</w:t>
            </w:r>
          </w:p>
        </w:tc>
        <w:tc>
          <w:tcPr>
            <w:tcW w:w="8839" w:type="dxa"/>
            <w:tcBorders>
              <w:top w:val="single" w:sz="4" w:space="0" w:color="auto"/>
              <w:left w:val="single" w:sz="4" w:space="0" w:color="auto"/>
              <w:bottom w:val="single" w:sz="4" w:space="0" w:color="auto"/>
              <w:right w:val="single" w:sz="4" w:space="0" w:color="auto"/>
            </w:tcBorders>
            <w:vAlign w:val="center"/>
          </w:tcPr>
          <w:p w14:paraId="0DBC2CEC" w14:textId="77215888" w:rsidR="00A400A7" w:rsidRPr="001850A7" w:rsidRDefault="00600C03" w:rsidP="00F31461">
            <w:pPr>
              <w:ind w:hanging="4"/>
              <w:jc w:val="both"/>
              <w:rPr>
                <w:sz w:val="18"/>
                <w:szCs w:val="18"/>
                <w:lang w:val="es-CO"/>
              </w:rPr>
            </w:pPr>
            <w:r w:rsidRPr="001850A7">
              <w:rPr>
                <w:sz w:val="18"/>
                <w:szCs w:val="18"/>
                <w:lang w:val="es-CO"/>
              </w:rPr>
              <w:t xml:space="preserve">Inició PAE Mayoritario el 28 de marzo para 155.585 </w:t>
            </w:r>
            <w:r w:rsidR="001850A7">
              <w:rPr>
                <w:sz w:val="18"/>
                <w:szCs w:val="18"/>
                <w:lang w:val="es-CO"/>
              </w:rPr>
              <w:t>b</w:t>
            </w:r>
            <w:r w:rsidR="001850A7" w:rsidRPr="001850A7">
              <w:rPr>
                <w:sz w:val="18"/>
                <w:szCs w:val="18"/>
                <w:lang w:val="es-CO"/>
              </w:rPr>
              <w:t>eneficiarios,</w:t>
            </w:r>
            <w:r w:rsidRPr="001850A7">
              <w:rPr>
                <w:sz w:val="18"/>
                <w:szCs w:val="18"/>
                <w:lang w:val="es-CO"/>
              </w:rPr>
              <w:t xml:space="preserve"> sin embargo, se encuentra pendiente que los municipios no certificados reporten la atención de 47.791 beneficiarios a la ETC según concertación para la atención PAE entre el Gobernación de </w:t>
            </w:r>
            <w:r w:rsidR="001850A7" w:rsidRPr="001850A7">
              <w:rPr>
                <w:sz w:val="18"/>
                <w:szCs w:val="18"/>
                <w:lang w:val="es-CO"/>
              </w:rPr>
              <w:t>Córdoba</w:t>
            </w:r>
            <w:r w:rsidRPr="001850A7">
              <w:rPr>
                <w:sz w:val="18"/>
                <w:szCs w:val="18"/>
                <w:lang w:val="es-CO"/>
              </w:rPr>
              <w:t xml:space="preserve"> y los municipios no certificados. PAE </w:t>
            </w:r>
            <w:r w:rsidR="001850A7" w:rsidRPr="001850A7">
              <w:rPr>
                <w:sz w:val="18"/>
                <w:szCs w:val="18"/>
                <w:lang w:val="es-CO"/>
              </w:rPr>
              <w:t>Indígena</w:t>
            </w:r>
            <w:r w:rsidRPr="001850A7">
              <w:rPr>
                <w:sz w:val="18"/>
                <w:szCs w:val="18"/>
                <w:lang w:val="es-CO"/>
              </w:rPr>
              <w:t>, CABILDO MAYOR DE KARAGABY  y CABILDO MAYOR DEL PUEBLO ZENU se encuentran en la etapa de perfeccionamiento de contrato.</w:t>
            </w:r>
          </w:p>
        </w:tc>
      </w:tr>
      <w:tr w:rsidR="001A7F29" w:rsidRPr="00755759" w14:paraId="70BF56BA" w14:textId="77777777" w:rsidTr="00154E93">
        <w:trPr>
          <w:trHeight w:val="65"/>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F28E7" w14:textId="6CFB742F" w:rsidR="001A7F29" w:rsidRPr="00202C78" w:rsidRDefault="001A7F29" w:rsidP="001A7F29">
            <w:pPr>
              <w:ind w:left="-709" w:firstLine="709"/>
              <w:jc w:val="both"/>
              <w:rPr>
                <w:b/>
                <w:bCs/>
                <w:sz w:val="18"/>
                <w:szCs w:val="18"/>
                <w:lang w:val="es-CO"/>
              </w:rPr>
            </w:pPr>
            <w:r w:rsidRPr="00202C78">
              <w:rPr>
                <w:b/>
                <w:bCs/>
                <w:sz w:val="18"/>
                <w:szCs w:val="18"/>
                <w:lang w:val="es-CO"/>
              </w:rPr>
              <w:t>CHOCÓ</w:t>
            </w:r>
          </w:p>
        </w:tc>
        <w:tc>
          <w:tcPr>
            <w:tcW w:w="8839" w:type="dxa"/>
            <w:tcBorders>
              <w:top w:val="single" w:sz="4" w:space="0" w:color="auto"/>
              <w:left w:val="single" w:sz="4" w:space="0" w:color="auto"/>
              <w:bottom w:val="single" w:sz="4" w:space="0" w:color="auto"/>
              <w:right w:val="single" w:sz="4" w:space="0" w:color="auto"/>
            </w:tcBorders>
            <w:vAlign w:val="center"/>
          </w:tcPr>
          <w:p w14:paraId="03E12E71" w14:textId="35A829DA" w:rsidR="00A76F1D" w:rsidRPr="001850A7" w:rsidRDefault="00600C03" w:rsidP="001A7F29">
            <w:pPr>
              <w:ind w:hanging="4"/>
              <w:jc w:val="both"/>
              <w:rPr>
                <w:sz w:val="18"/>
                <w:szCs w:val="18"/>
                <w:lang w:val="es-CO"/>
              </w:rPr>
            </w:pPr>
            <w:r w:rsidRPr="001850A7">
              <w:rPr>
                <w:sz w:val="18"/>
                <w:szCs w:val="18"/>
                <w:lang w:val="es-CO"/>
              </w:rPr>
              <w:t>Para el corte del 7 de abril la ETC indica que el PAE Indígena inició Operación en dos de los tres contratos.</w:t>
            </w:r>
          </w:p>
        </w:tc>
      </w:tr>
      <w:tr w:rsidR="001A7F29" w:rsidRPr="00755759" w14:paraId="2D75D98F" w14:textId="77777777" w:rsidTr="00154E93">
        <w:trPr>
          <w:trHeight w:val="328"/>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568C8" w14:textId="2AA98446" w:rsidR="001A7F29" w:rsidRPr="00202C78" w:rsidRDefault="001A7F29" w:rsidP="001A7F29">
            <w:pPr>
              <w:ind w:left="-709" w:firstLine="709"/>
              <w:jc w:val="both"/>
              <w:rPr>
                <w:b/>
                <w:bCs/>
                <w:sz w:val="18"/>
                <w:szCs w:val="18"/>
                <w:lang w:val="es-CO"/>
              </w:rPr>
            </w:pPr>
            <w:r w:rsidRPr="00202C78">
              <w:rPr>
                <w:b/>
                <w:bCs/>
                <w:sz w:val="18"/>
                <w:szCs w:val="18"/>
                <w:lang w:val="es-CO"/>
              </w:rPr>
              <w:t>PASTO</w:t>
            </w:r>
          </w:p>
        </w:tc>
        <w:tc>
          <w:tcPr>
            <w:tcW w:w="8839" w:type="dxa"/>
            <w:tcBorders>
              <w:top w:val="single" w:sz="4" w:space="0" w:color="auto"/>
              <w:left w:val="single" w:sz="4" w:space="0" w:color="auto"/>
              <w:bottom w:val="single" w:sz="4" w:space="0" w:color="auto"/>
              <w:right w:val="single" w:sz="4" w:space="0" w:color="auto"/>
            </w:tcBorders>
            <w:vAlign w:val="center"/>
          </w:tcPr>
          <w:p w14:paraId="6191B266" w14:textId="33435AFC" w:rsidR="001A7F29" w:rsidRPr="001850A7" w:rsidRDefault="00600C03" w:rsidP="002B77C0">
            <w:pPr>
              <w:ind w:hanging="4"/>
              <w:jc w:val="both"/>
              <w:rPr>
                <w:sz w:val="18"/>
                <w:szCs w:val="18"/>
                <w:lang w:val="es-CO"/>
              </w:rPr>
            </w:pPr>
            <w:r w:rsidRPr="001850A7">
              <w:rPr>
                <w:sz w:val="18"/>
                <w:szCs w:val="18"/>
                <w:lang w:val="es-CO"/>
              </w:rPr>
              <w:t xml:space="preserve">Por parte de la ETC se han reportado acciones de seguimiento ante los SPQR generados en </w:t>
            </w:r>
            <w:r w:rsidR="001850A7" w:rsidRPr="001850A7">
              <w:rPr>
                <w:sz w:val="18"/>
                <w:szCs w:val="18"/>
                <w:lang w:val="es-CO"/>
              </w:rPr>
              <w:t>las sedes educativas</w:t>
            </w:r>
            <w:r w:rsidRPr="001850A7">
              <w:rPr>
                <w:sz w:val="18"/>
                <w:szCs w:val="18"/>
                <w:lang w:val="es-CO"/>
              </w:rPr>
              <w:t xml:space="preserve"> con relación a la no </w:t>
            </w:r>
            <w:r w:rsidR="001850A7" w:rsidRPr="001850A7">
              <w:rPr>
                <w:sz w:val="18"/>
                <w:szCs w:val="18"/>
                <w:lang w:val="es-CO"/>
              </w:rPr>
              <w:t>presentación</w:t>
            </w:r>
            <w:r w:rsidRPr="001850A7">
              <w:rPr>
                <w:sz w:val="18"/>
                <w:szCs w:val="18"/>
                <w:lang w:val="es-CO"/>
              </w:rPr>
              <w:t xml:space="preserve"> y la calidad de los productos entregados, la ETC indico que se adelanta requerimientos al operador por el incumplimiento en la prestación del servicio;  no se ha logrado atender el 100% de la población priorizada</w:t>
            </w:r>
          </w:p>
        </w:tc>
      </w:tr>
      <w:tr w:rsidR="006F5E20" w:rsidRPr="00755759" w14:paraId="391F01A0" w14:textId="77777777" w:rsidTr="00154E93">
        <w:trPr>
          <w:trHeight w:val="328"/>
        </w:trPr>
        <w:tc>
          <w:tcPr>
            <w:tcW w:w="1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8C59AB" w14:textId="69F48ABE" w:rsidR="006F5E20" w:rsidRDefault="006F5E20" w:rsidP="001A7F29">
            <w:pPr>
              <w:ind w:left="-709" w:firstLine="709"/>
              <w:jc w:val="both"/>
              <w:rPr>
                <w:b/>
                <w:bCs/>
                <w:sz w:val="18"/>
                <w:szCs w:val="18"/>
              </w:rPr>
            </w:pPr>
            <w:r>
              <w:rPr>
                <w:b/>
                <w:bCs/>
                <w:sz w:val="18"/>
                <w:szCs w:val="18"/>
              </w:rPr>
              <w:t>VICHADA</w:t>
            </w:r>
          </w:p>
        </w:tc>
        <w:tc>
          <w:tcPr>
            <w:tcW w:w="8839" w:type="dxa"/>
            <w:tcBorders>
              <w:top w:val="single" w:sz="4" w:space="0" w:color="auto"/>
              <w:left w:val="single" w:sz="4" w:space="0" w:color="auto"/>
              <w:bottom w:val="single" w:sz="4" w:space="0" w:color="auto"/>
              <w:right w:val="single" w:sz="4" w:space="0" w:color="auto"/>
            </w:tcBorders>
            <w:vAlign w:val="center"/>
          </w:tcPr>
          <w:p w14:paraId="3C58E391" w14:textId="2276FC2D" w:rsidR="006F5E20" w:rsidRPr="001850A7" w:rsidRDefault="00600C03" w:rsidP="00DB34F4">
            <w:pPr>
              <w:ind w:hanging="4"/>
              <w:jc w:val="both"/>
              <w:rPr>
                <w:sz w:val="18"/>
                <w:szCs w:val="18"/>
                <w:lang w:val="es-CO"/>
              </w:rPr>
            </w:pPr>
            <w:r w:rsidRPr="001850A7">
              <w:rPr>
                <w:sz w:val="18"/>
                <w:szCs w:val="18"/>
                <w:lang w:val="es-CO"/>
              </w:rPr>
              <w:t>La ETC informa que a partir de la primera semana de mayo iniciará PAE en resistencias escolares.</w:t>
            </w:r>
          </w:p>
        </w:tc>
      </w:tr>
    </w:tbl>
    <w:p w14:paraId="1AE7C4A2" w14:textId="77777777" w:rsidR="00600C03" w:rsidRDefault="00600C03" w:rsidP="009D37D7">
      <w:pPr>
        <w:ind w:left="-709" w:right="-518"/>
        <w:jc w:val="both"/>
      </w:pPr>
    </w:p>
    <w:p w14:paraId="0279F4B7" w14:textId="6614B5C3" w:rsidR="00686EA4" w:rsidRPr="00346DC1" w:rsidRDefault="00E702B9" w:rsidP="00D419A4">
      <w:pPr>
        <w:ind w:left="-709"/>
        <w:jc w:val="both"/>
        <w:rPr>
          <w:b/>
          <w:bCs/>
          <w:color w:val="1F3864" w:themeColor="accent5" w:themeShade="80"/>
        </w:rPr>
      </w:pPr>
      <w:r w:rsidRPr="00346DC1">
        <w:rPr>
          <w:b/>
          <w:bCs/>
          <w:color w:val="1F3864" w:themeColor="accent5" w:themeShade="80"/>
        </w:rPr>
        <w:t>E</w:t>
      </w:r>
      <w:r w:rsidR="00686EA4" w:rsidRPr="00346DC1">
        <w:rPr>
          <w:b/>
          <w:bCs/>
          <w:color w:val="1F3864" w:themeColor="accent5" w:themeShade="80"/>
        </w:rPr>
        <w:t xml:space="preserve">l cuadro No. </w:t>
      </w:r>
      <w:r w:rsidRPr="00346DC1">
        <w:rPr>
          <w:b/>
          <w:bCs/>
          <w:color w:val="1F3864" w:themeColor="accent5" w:themeShade="80"/>
        </w:rPr>
        <w:t xml:space="preserve">2 presenta </w:t>
      </w:r>
      <w:r w:rsidR="00686EA4" w:rsidRPr="00346DC1">
        <w:rPr>
          <w:b/>
          <w:bCs/>
          <w:color w:val="1F3864" w:themeColor="accent5" w:themeShade="80"/>
        </w:rPr>
        <w:t xml:space="preserve">el seguimiento </w:t>
      </w:r>
      <w:r w:rsidRPr="00346DC1">
        <w:rPr>
          <w:b/>
          <w:bCs/>
          <w:color w:val="1F3864" w:themeColor="accent5" w:themeShade="80"/>
        </w:rPr>
        <w:t xml:space="preserve">realizado </w:t>
      </w:r>
      <w:r w:rsidR="00686EA4" w:rsidRPr="00346DC1">
        <w:rPr>
          <w:b/>
          <w:bCs/>
          <w:color w:val="1F3864" w:themeColor="accent5" w:themeShade="80"/>
        </w:rPr>
        <w:t>a las modalidades</w:t>
      </w:r>
      <w:r w:rsidR="00EA24C3" w:rsidRPr="00346DC1">
        <w:rPr>
          <w:b/>
          <w:bCs/>
          <w:color w:val="1F3864" w:themeColor="accent5" w:themeShade="80"/>
        </w:rPr>
        <w:t xml:space="preserve"> de atención</w:t>
      </w:r>
      <w:r w:rsidR="00686EA4" w:rsidRPr="00346DC1">
        <w:rPr>
          <w:b/>
          <w:bCs/>
          <w:color w:val="1F3864" w:themeColor="accent5" w:themeShade="80"/>
        </w:rPr>
        <w:t xml:space="preserve"> implementadas</w:t>
      </w:r>
      <w:r w:rsidRPr="00346DC1">
        <w:rPr>
          <w:b/>
          <w:bCs/>
          <w:color w:val="1F3864" w:themeColor="accent5" w:themeShade="80"/>
        </w:rPr>
        <w:t xml:space="preserve"> en</w:t>
      </w:r>
      <w:r w:rsidR="00686EA4" w:rsidRPr="00346DC1">
        <w:rPr>
          <w:b/>
          <w:bCs/>
          <w:color w:val="1F3864" w:themeColor="accent5" w:themeShade="80"/>
        </w:rPr>
        <w:t xml:space="preserve"> las </w:t>
      </w:r>
      <w:r w:rsidR="00A640E2">
        <w:rPr>
          <w:b/>
          <w:bCs/>
          <w:color w:val="1F3864" w:themeColor="accent5" w:themeShade="80"/>
        </w:rPr>
        <w:t>90</w:t>
      </w:r>
      <w:r w:rsidRPr="00346DC1">
        <w:rPr>
          <w:b/>
          <w:bCs/>
          <w:color w:val="1F3864" w:themeColor="accent5" w:themeShade="80"/>
        </w:rPr>
        <w:t xml:space="preserve"> </w:t>
      </w:r>
      <w:r w:rsidR="00686EA4" w:rsidRPr="00346DC1">
        <w:rPr>
          <w:b/>
          <w:bCs/>
          <w:color w:val="1F3864" w:themeColor="accent5" w:themeShade="80"/>
        </w:rPr>
        <w:t>ETC</w:t>
      </w:r>
      <w:r w:rsidRPr="00346DC1">
        <w:rPr>
          <w:b/>
          <w:bCs/>
          <w:color w:val="1F3864" w:themeColor="accent5" w:themeShade="80"/>
        </w:rPr>
        <w:t xml:space="preserve"> que</w:t>
      </w:r>
      <w:r w:rsidR="00686EA4" w:rsidRPr="00346DC1">
        <w:rPr>
          <w:b/>
          <w:bCs/>
          <w:color w:val="1F3864" w:themeColor="accent5" w:themeShade="80"/>
        </w:rPr>
        <w:t xml:space="preserve"> se encuentran ejecutando el PAE.</w:t>
      </w:r>
    </w:p>
    <w:p w14:paraId="1BADCF33" w14:textId="77777777" w:rsidR="00686EA4" w:rsidRPr="00F22EF9" w:rsidRDefault="00686EA4" w:rsidP="00DD3EC4">
      <w:pPr>
        <w:ind w:left="-709" w:firstLine="709"/>
        <w:jc w:val="both"/>
        <w:rPr>
          <w:sz w:val="4"/>
          <w:szCs w:val="4"/>
        </w:rPr>
      </w:pPr>
    </w:p>
    <w:p w14:paraId="75F28C47" w14:textId="0CC703CD" w:rsidR="00686EA4" w:rsidRPr="009D37D7" w:rsidRDefault="00686EA4" w:rsidP="009D37D7">
      <w:pPr>
        <w:ind w:left="-709"/>
        <w:rPr>
          <w:b/>
          <w:bCs/>
          <w:sz w:val="20"/>
          <w:szCs w:val="20"/>
        </w:rPr>
      </w:pPr>
      <w:r w:rsidRPr="009D37D7">
        <w:rPr>
          <w:b/>
          <w:bCs/>
          <w:sz w:val="20"/>
          <w:szCs w:val="20"/>
        </w:rPr>
        <w:t>Cuadro No.2</w:t>
      </w:r>
      <w:r w:rsidR="009D37D7">
        <w:rPr>
          <w:b/>
          <w:bCs/>
          <w:sz w:val="20"/>
          <w:szCs w:val="20"/>
        </w:rPr>
        <w:t xml:space="preserve">.  </w:t>
      </w:r>
      <w:r w:rsidRPr="009D37D7">
        <w:rPr>
          <w:sz w:val="20"/>
          <w:szCs w:val="20"/>
        </w:rPr>
        <w:t>Modalidades</w:t>
      </w:r>
      <w:r w:rsidR="009D37D7">
        <w:rPr>
          <w:sz w:val="20"/>
          <w:szCs w:val="20"/>
        </w:rPr>
        <w:t xml:space="preserve"> de atención </w:t>
      </w:r>
      <w:r w:rsidRPr="009D37D7">
        <w:rPr>
          <w:sz w:val="20"/>
          <w:szCs w:val="20"/>
        </w:rPr>
        <w:t>PAE</w:t>
      </w:r>
    </w:p>
    <w:tbl>
      <w:tblPr>
        <w:tblW w:w="10297" w:type="dxa"/>
        <w:tblInd w:w="-714" w:type="dxa"/>
        <w:tblCellMar>
          <w:left w:w="70" w:type="dxa"/>
          <w:right w:w="70" w:type="dxa"/>
        </w:tblCellMar>
        <w:tblLook w:val="04A0" w:firstRow="1" w:lastRow="0" w:firstColumn="1" w:lastColumn="0" w:noHBand="0" w:noVBand="1"/>
      </w:tblPr>
      <w:tblGrid>
        <w:gridCol w:w="2410"/>
        <w:gridCol w:w="567"/>
        <w:gridCol w:w="7320"/>
      </w:tblGrid>
      <w:tr w:rsidR="009D37D7" w:rsidRPr="009D37D7" w14:paraId="34DDCA51" w14:textId="77777777" w:rsidTr="00F22EF9">
        <w:trPr>
          <w:trHeight w:val="260"/>
          <w:tblHeader/>
        </w:trPr>
        <w:tc>
          <w:tcPr>
            <w:tcW w:w="2410"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74FC6BD6" w14:textId="5605CA71" w:rsidR="009D37D7" w:rsidRPr="00202C78" w:rsidRDefault="00EA24C3" w:rsidP="00343499">
            <w:pPr>
              <w:jc w:val="center"/>
              <w:rPr>
                <w:b/>
                <w:bCs/>
                <w:sz w:val="18"/>
                <w:szCs w:val="18"/>
              </w:rPr>
            </w:pPr>
            <w:r w:rsidRPr="00202C78">
              <w:rPr>
                <w:b/>
                <w:bCs/>
                <w:sz w:val="18"/>
                <w:szCs w:val="18"/>
              </w:rPr>
              <w:t xml:space="preserve">MODALIDAD DE ATENCION </w:t>
            </w:r>
          </w:p>
        </w:tc>
        <w:tc>
          <w:tcPr>
            <w:tcW w:w="7887" w:type="dxa"/>
            <w:gridSpan w:val="2"/>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12C1EE40" w14:textId="312935F7" w:rsidR="009D37D7" w:rsidRPr="00202C78" w:rsidRDefault="0045779F" w:rsidP="00343499">
            <w:pPr>
              <w:jc w:val="center"/>
              <w:rPr>
                <w:b/>
                <w:bCs/>
                <w:sz w:val="18"/>
                <w:szCs w:val="18"/>
              </w:rPr>
            </w:pPr>
            <w:r w:rsidRPr="00202C78">
              <w:rPr>
                <w:b/>
                <w:bCs/>
                <w:sz w:val="18"/>
                <w:szCs w:val="18"/>
              </w:rPr>
              <w:t xml:space="preserve"> </w:t>
            </w:r>
            <w:r w:rsidR="009D37D7" w:rsidRPr="00202C78">
              <w:rPr>
                <w:b/>
                <w:bCs/>
                <w:sz w:val="18"/>
                <w:szCs w:val="18"/>
              </w:rPr>
              <w:t>ETC</w:t>
            </w:r>
          </w:p>
        </w:tc>
      </w:tr>
      <w:tr w:rsidR="009D37D7" w:rsidRPr="001F0A92" w14:paraId="36952BC8" w14:textId="77777777" w:rsidTr="0023538B">
        <w:trPr>
          <w:trHeight w:val="68"/>
        </w:trPr>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A760B0" w14:textId="77777777" w:rsidR="009D37D7" w:rsidRPr="00202C78" w:rsidRDefault="009D37D7" w:rsidP="00343499">
            <w:pPr>
              <w:rPr>
                <w:rFonts w:eastAsia="Times New Roman"/>
                <w:b/>
                <w:bCs/>
                <w:color w:val="000000"/>
                <w:sz w:val="18"/>
                <w:szCs w:val="18"/>
                <w:lang w:eastAsia="es-CO"/>
              </w:rPr>
            </w:pPr>
            <w:r w:rsidRPr="00202C78">
              <w:rPr>
                <w:rFonts w:eastAsia="Times New Roman"/>
                <w:b/>
                <w:bCs/>
                <w:color w:val="000000"/>
                <w:sz w:val="18"/>
                <w:szCs w:val="18"/>
                <w:lang w:eastAsia="es-CO"/>
              </w:rPr>
              <w:t>Preparada en Sitio</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3522EC" w14:textId="339DB042" w:rsidR="009D37D7" w:rsidRPr="00202C78" w:rsidRDefault="003E697E" w:rsidP="00343499">
            <w:pPr>
              <w:ind w:left="-709" w:firstLine="709"/>
              <w:jc w:val="center"/>
              <w:rPr>
                <w:rFonts w:eastAsia="Times New Roman"/>
                <w:b/>
                <w:bCs/>
                <w:color w:val="000000"/>
                <w:sz w:val="18"/>
                <w:szCs w:val="18"/>
                <w:lang w:eastAsia="es-CO"/>
              </w:rPr>
            </w:pPr>
            <w:r>
              <w:rPr>
                <w:rFonts w:eastAsia="Times New Roman"/>
                <w:b/>
                <w:bCs/>
                <w:color w:val="000000"/>
                <w:sz w:val="18"/>
                <w:szCs w:val="18"/>
                <w:lang w:eastAsia="es-CO"/>
              </w:rPr>
              <w:t>2</w:t>
            </w:r>
            <w:r w:rsidR="00D71ACD">
              <w:rPr>
                <w:rFonts w:eastAsia="Times New Roman"/>
                <w:b/>
                <w:bCs/>
                <w:color w:val="000000"/>
                <w:sz w:val="18"/>
                <w:szCs w:val="18"/>
                <w:lang w:eastAsia="es-CO"/>
              </w:rPr>
              <w:t>1</w:t>
            </w:r>
          </w:p>
        </w:tc>
        <w:tc>
          <w:tcPr>
            <w:tcW w:w="7320" w:type="dxa"/>
            <w:tcBorders>
              <w:top w:val="single" w:sz="4" w:space="0" w:color="auto"/>
              <w:left w:val="nil"/>
              <w:bottom w:val="single" w:sz="4" w:space="0" w:color="auto"/>
              <w:right w:val="single" w:sz="4" w:space="0" w:color="auto"/>
            </w:tcBorders>
            <w:shd w:val="clear" w:color="auto" w:fill="auto"/>
            <w:vAlign w:val="center"/>
            <w:hideMark/>
          </w:tcPr>
          <w:p w14:paraId="54896930" w14:textId="197EDBC7" w:rsidR="009D37D7" w:rsidRPr="00202C78" w:rsidRDefault="009D37D7" w:rsidP="00343499">
            <w:pPr>
              <w:ind w:left="71"/>
              <w:rPr>
                <w:rFonts w:eastAsia="Times New Roman"/>
                <w:color w:val="000000"/>
                <w:sz w:val="18"/>
                <w:szCs w:val="18"/>
                <w:lang w:eastAsia="es-CO"/>
              </w:rPr>
            </w:pPr>
            <w:r w:rsidRPr="00202C78">
              <w:rPr>
                <w:rFonts w:eastAsia="Times New Roman"/>
                <w:color w:val="000000"/>
                <w:sz w:val="18"/>
                <w:szCs w:val="18"/>
                <w:lang w:eastAsia="es-CO"/>
              </w:rPr>
              <w:t xml:space="preserve">Apartadó, Arauca, Boyacá, </w:t>
            </w:r>
            <w:r w:rsidR="00D71ACD">
              <w:rPr>
                <w:rFonts w:eastAsia="Times New Roman"/>
                <w:color w:val="000000"/>
                <w:sz w:val="18"/>
                <w:szCs w:val="18"/>
                <w:lang w:eastAsia="es-CO"/>
              </w:rPr>
              <w:t xml:space="preserve">Caquetá, </w:t>
            </w:r>
            <w:r w:rsidRPr="00202C78">
              <w:rPr>
                <w:rFonts w:eastAsia="Times New Roman"/>
                <w:color w:val="000000"/>
                <w:sz w:val="18"/>
                <w:szCs w:val="18"/>
                <w:lang w:eastAsia="es-CO"/>
              </w:rPr>
              <w:t>Cauca,</w:t>
            </w:r>
            <w:r w:rsidR="00B21E91" w:rsidRPr="00202C78">
              <w:rPr>
                <w:rFonts w:eastAsia="Times New Roman"/>
                <w:color w:val="000000"/>
                <w:sz w:val="18"/>
                <w:szCs w:val="18"/>
                <w:lang w:eastAsia="es-CO"/>
              </w:rPr>
              <w:t xml:space="preserve"> Cho</w:t>
            </w:r>
            <w:r w:rsidR="003E697E">
              <w:rPr>
                <w:rFonts w:eastAsia="Times New Roman"/>
                <w:color w:val="000000"/>
                <w:sz w:val="18"/>
                <w:szCs w:val="18"/>
                <w:lang w:eastAsia="es-CO"/>
              </w:rPr>
              <w:t xml:space="preserve">có, Córdoba, </w:t>
            </w:r>
            <w:r w:rsidRPr="00202C78">
              <w:rPr>
                <w:rFonts w:eastAsia="Times New Roman"/>
                <w:color w:val="000000"/>
                <w:sz w:val="18"/>
                <w:szCs w:val="18"/>
                <w:lang w:eastAsia="es-CO"/>
              </w:rPr>
              <w:t xml:space="preserve">Girón, Guainía, Huila, Itagüí, </w:t>
            </w:r>
            <w:r w:rsidR="003E697E">
              <w:rPr>
                <w:rFonts w:eastAsia="Times New Roman"/>
                <w:color w:val="000000"/>
                <w:sz w:val="18"/>
                <w:szCs w:val="18"/>
                <w:lang w:eastAsia="es-CO"/>
              </w:rPr>
              <w:t xml:space="preserve">Pitalito, </w:t>
            </w:r>
            <w:r w:rsidRPr="00202C78">
              <w:rPr>
                <w:rFonts w:eastAsia="Times New Roman"/>
                <w:color w:val="000000"/>
                <w:sz w:val="18"/>
                <w:szCs w:val="18"/>
                <w:lang w:eastAsia="es-CO"/>
              </w:rPr>
              <w:t xml:space="preserve">Putumayo, </w:t>
            </w:r>
            <w:r w:rsidR="00E702B9" w:rsidRPr="00202C78">
              <w:rPr>
                <w:rFonts w:eastAsia="Times New Roman"/>
                <w:color w:val="000000"/>
                <w:sz w:val="18"/>
                <w:szCs w:val="18"/>
                <w:lang w:eastAsia="es-CO"/>
              </w:rPr>
              <w:t>Quibdó, Sahagún</w:t>
            </w:r>
            <w:r w:rsidRPr="00202C78">
              <w:rPr>
                <w:rFonts w:eastAsia="Times New Roman"/>
                <w:color w:val="000000"/>
                <w:sz w:val="18"/>
                <w:szCs w:val="18"/>
                <w:lang w:eastAsia="es-CO"/>
              </w:rPr>
              <w:t>, Santander, Tunja, Turbo, Vichada, Yopal, Yumbo</w:t>
            </w:r>
            <w:r w:rsidR="00EC4CB2" w:rsidRPr="00202C78">
              <w:rPr>
                <w:rFonts w:eastAsia="Times New Roman"/>
                <w:color w:val="000000"/>
                <w:sz w:val="18"/>
                <w:szCs w:val="18"/>
                <w:lang w:eastAsia="es-CO"/>
              </w:rPr>
              <w:t>.</w:t>
            </w:r>
          </w:p>
        </w:tc>
      </w:tr>
      <w:tr w:rsidR="009D37D7" w:rsidRPr="001F0A92" w14:paraId="7D3ACF85" w14:textId="77777777" w:rsidTr="0023538B">
        <w:trPr>
          <w:trHeight w:val="346"/>
        </w:trPr>
        <w:tc>
          <w:tcPr>
            <w:tcW w:w="241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13BD6D3A" w14:textId="5640C370" w:rsidR="009D37D7" w:rsidRPr="00202C78" w:rsidRDefault="00EA24C3" w:rsidP="00A22A8F">
            <w:pPr>
              <w:rPr>
                <w:rFonts w:eastAsia="Times New Roman"/>
                <w:b/>
                <w:bCs/>
                <w:color w:val="000000"/>
                <w:sz w:val="18"/>
                <w:szCs w:val="18"/>
                <w:lang w:eastAsia="es-CO"/>
              </w:rPr>
            </w:pPr>
            <w:r w:rsidRPr="00202C78">
              <w:rPr>
                <w:rFonts w:eastAsia="Times New Roman"/>
                <w:b/>
                <w:bCs/>
                <w:color w:val="000000"/>
                <w:sz w:val="18"/>
                <w:szCs w:val="18"/>
                <w:lang w:eastAsia="es-CO"/>
              </w:rPr>
              <w:t xml:space="preserve">Industrializada </w:t>
            </w:r>
            <w:r w:rsidRPr="00202C78">
              <w:rPr>
                <w:i/>
                <w:iCs/>
                <w:sz w:val="18"/>
                <w:szCs w:val="18"/>
              </w:rPr>
              <w:t>(*)</w:t>
            </w:r>
          </w:p>
        </w:tc>
        <w:tc>
          <w:tcPr>
            <w:tcW w:w="567" w:type="dxa"/>
            <w:tcBorders>
              <w:top w:val="nil"/>
              <w:left w:val="nil"/>
              <w:bottom w:val="single" w:sz="4" w:space="0" w:color="auto"/>
              <w:right w:val="single" w:sz="4" w:space="0" w:color="auto"/>
            </w:tcBorders>
            <w:shd w:val="clear" w:color="auto" w:fill="auto"/>
            <w:noWrap/>
            <w:vAlign w:val="center"/>
            <w:hideMark/>
          </w:tcPr>
          <w:p w14:paraId="65140E2E" w14:textId="7F5F594A" w:rsidR="009D37D7" w:rsidRPr="00202C78" w:rsidRDefault="0032143C" w:rsidP="00DD3EC4">
            <w:pPr>
              <w:ind w:left="-709" w:firstLine="709"/>
              <w:jc w:val="center"/>
              <w:rPr>
                <w:rFonts w:eastAsia="Times New Roman"/>
                <w:b/>
                <w:bCs/>
                <w:color w:val="000000"/>
                <w:sz w:val="18"/>
                <w:szCs w:val="18"/>
                <w:lang w:eastAsia="es-CO"/>
              </w:rPr>
            </w:pPr>
            <w:r>
              <w:rPr>
                <w:rFonts w:eastAsia="Times New Roman"/>
                <w:b/>
                <w:bCs/>
                <w:color w:val="000000"/>
                <w:sz w:val="18"/>
                <w:szCs w:val="18"/>
                <w:lang w:eastAsia="es-CO"/>
              </w:rPr>
              <w:t>6</w:t>
            </w:r>
          </w:p>
        </w:tc>
        <w:tc>
          <w:tcPr>
            <w:tcW w:w="7320" w:type="dxa"/>
            <w:tcBorders>
              <w:top w:val="nil"/>
              <w:left w:val="nil"/>
              <w:bottom w:val="single" w:sz="4" w:space="0" w:color="auto"/>
              <w:right w:val="single" w:sz="4" w:space="0" w:color="auto"/>
            </w:tcBorders>
            <w:shd w:val="clear" w:color="auto" w:fill="auto"/>
            <w:vAlign w:val="center"/>
            <w:hideMark/>
          </w:tcPr>
          <w:p w14:paraId="4D70D8D2" w14:textId="0EB7569C" w:rsidR="009D37D7" w:rsidRPr="00202C78" w:rsidRDefault="009D37D7" w:rsidP="00B70454">
            <w:pPr>
              <w:ind w:left="71"/>
              <w:jc w:val="both"/>
              <w:rPr>
                <w:rFonts w:eastAsia="Times New Roman"/>
                <w:color w:val="000000"/>
                <w:sz w:val="18"/>
                <w:szCs w:val="18"/>
                <w:lang w:eastAsia="es-CO"/>
              </w:rPr>
            </w:pPr>
            <w:r w:rsidRPr="00202C78">
              <w:rPr>
                <w:rFonts w:eastAsia="Times New Roman"/>
                <w:color w:val="000000"/>
                <w:sz w:val="18"/>
                <w:szCs w:val="18"/>
                <w:lang w:eastAsia="es-CO"/>
              </w:rPr>
              <w:t xml:space="preserve">Atlántico, </w:t>
            </w:r>
            <w:r w:rsidR="00696155" w:rsidRPr="00202C78">
              <w:rPr>
                <w:rFonts w:eastAsia="Times New Roman"/>
                <w:color w:val="000000"/>
                <w:sz w:val="18"/>
                <w:szCs w:val="18"/>
                <w:lang w:eastAsia="es-CO"/>
              </w:rPr>
              <w:t xml:space="preserve">Barrancabermeja, </w:t>
            </w:r>
            <w:r w:rsidR="0045779F" w:rsidRPr="00202C78">
              <w:rPr>
                <w:rFonts w:eastAsia="Times New Roman"/>
                <w:color w:val="000000"/>
                <w:sz w:val="18"/>
                <w:szCs w:val="18"/>
                <w:lang w:eastAsia="es-CO"/>
              </w:rPr>
              <w:t xml:space="preserve">Cartagena, </w:t>
            </w:r>
            <w:r w:rsidRPr="00202C78">
              <w:rPr>
                <w:rFonts w:eastAsia="Times New Roman"/>
                <w:color w:val="000000"/>
                <w:sz w:val="18"/>
                <w:szCs w:val="18"/>
                <w:lang w:eastAsia="es-CO"/>
              </w:rPr>
              <w:t>Ciénaga, Floridablanca, Montería</w:t>
            </w:r>
            <w:r w:rsidR="008D3D92" w:rsidRPr="00202C78">
              <w:rPr>
                <w:rFonts w:eastAsia="Times New Roman"/>
                <w:color w:val="000000"/>
                <w:sz w:val="18"/>
                <w:szCs w:val="18"/>
                <w:lang w:eastAsia="es-CO"/>
              </w:rPr>
              <w:t>.</w:t>
            </w:r>
          </w:p>
        </w:tc>
      </w:tr>
      <w:tr w:rsidR="009D37D7" w:rsidRPr="001F0A92" w14:paraId="2002C33A" w14:textId="77777777" w:rsidTr="0023538B">
        <w:trPr>
          <w:trHeight w:val="454"/>
        </w:trPr>
        <w:tc>
          <w:tcPr>
            <w:tcW w:w="2410" w:type="dxa"/>
            <w:vMerge w:val="restart"/>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54381C59" w14:textId="77777777" w:rsidR="009D37D7" w:rsidRPr="00202C78" w:rsidRDefault="009D37D7" w:rsidP="00A22A8F">
            <w:pPr>
              <w:rPr>
                <w:rFonts w:eastAsia="Times New Roman"/>
                <w:b/>
                <w:bCs/>
                <w:color w:val="000000"/>
                <w:sz w:val="18"/>
                <w:szCs w:val="18"/>
                <w:lang w:eastAsia="es-CO"/>
              </w:rPr>
            </w:pPr>
            <w:r w:rsidRPr="00202C78">
              <w:rPr>
                <w:rFonts w:eastAsia="Times New Roman"/>
                <w:b/>
                <w:bCs/>
                <w:color w:val="000000"/>
                <w:sz w:val="18"/>
                <w:szCs w:val="18"/>
                <w:lang w:eastAsia="es-CO"/>
              </w:rPr>
              <w:t xml:space="preserve">Preparada en Sitio e </w:t>
            </w:r>
          </w:p>
          <w:p w14:paraId="07A46611" w14:textId="77777777" w:rsidR="009D37D7" w:rsidRPr="00202C78" w:rsidRDefault="009D37D7" w:rsidP="00A22A8F">
            <w:pPr>
              <w:rPr>
                <w:rFonts w:eastAsia="Times New Roman"/>
                <w:b/>
                <w:bCs/>
                <w:color w:val="000000"/>
                <w:sz w:val="18"/>
                <w:szCs w:val="18"/>
                <w:lang w:eastAsia="es-CO"/>
              </w:rPr>
            </w:pPr>
            <w:r w:rsidRPr="00202C78">
              <w:rPr>
                <w:rFonts w:eastAsia="Times New Roman"/>
                <w:b/>
                <w:bCs/>
                <w:color w:val="000000"/>
                <w:sz w:val="18"/>
                <w:szCs w:val="18"/>
                <w:lang w:eastAsia="es-CO"/>
              </w:rPr>
              <w:t>Industrializada</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EC4496" w14:textId="162BDAE0" w:rsidR="009D37D7" w:rsidRPr="00202C78" w:rsidRDefault="009D37D7" w:rsidP="00DD3EC4">
            <w:pPr>
              <w:ind w:left="-709" w:firstLine="709"/>
              <w:jc w:val="center"/>
              <w:rPr>
                <w:rFonts w:eastAsia="Times New Roman"/>
                <w:b/>
                <w:bCs/>
                <w:color w:val="000000"/>
                <w:sz w:val="18"/>
                <w:szCs w:val="18"/>
                <w:lang w:eastAsia="es-CO"/>
              </w:rPr>
            </w:pPr>
            <w:r w:rsidRPr="00202C78">
              <w:rPr>
                <w:rFonts w:eastAsia="Times New Roman"/>
                <w:b/>
                <w:bCs/>
                <w:color w:val="000000"/>
                <w:sz w:val="18"/>
                <w:szCs w:val="18"/>
                <w:lang w:eastAsia="es-CO"/>
              </w:rPr>
              <w:t>5</w:t>
            </w:r>
            <w:r w:rsidR="00A640E2">
              <w:rPr>
                <w:rFonts w:eastAsia="Times New Roman"/>
                <w:b/>
                <w:bCs/>
                <w:color w:val="000000"/>
                <w:sz w:val="18"/>
                <w:szCs w:val="18"/>
                <w:lang w:eastAsia="es-CO"/>
              </w:rPr>
              <w:t>6</w:t>
            </w:r>
          </w:p>
        </w:tc>
        <w:tc>
          <w:tcPr>
            <w:tcW w:w="7320" w:type="dxa"/>
            <w:vMerge w:val="restart"/>
            <w:tcBorders>
              <w:top w:val="nil"/>
              <w:left w:val="single" w:sz="4" w:space="0" w:color="auto"/>
              <w:bottom w:val="single" w:sz="4" w:space="0" w:color="auto"/>
              <w:right w:val="single" w:sz="4" w:space="0" w:color="auto"/>
            </w:tcBorders>
            <w:shd w:val="clear" w:color="auto" w:fill="auto"/>
            <w:vAlign w:val="center"/>
            <w:hideMark/>
          </w:tcPr>
          <w:p w14:paraId="2B1000FD" w14:textId="38488071" w:rsidR="009D37D7" w:rsidRPr="00202C78" w:rsidRDefault="009D37D7" w:rsidP="00B70454">
            <w:pPr>
              <w:ind w:left="71"/>
              <w:jc w:val="both"/>
              <w:rPr>
                <w:rFonts w:eastAsia="Times New Roman"/>
                <w:color w:val="000000"/>
                <w:sz w:val="18"/>
                <w:szCs w:val="18"/>
                <w:lang w:eastAsia="es-CO"/>
              </w:rPr>
            </w:pPr>
            <w:r w:rsidRPr="00202C78">
              <w:rPr>
                <w:rFonts w:eastAsia="Times New Roman"/>
                <w:color w:val="000000"/>
                <w:sz w:val="18"/>
                <w:szCs w:val="18"/>
                <w:lang w:eastAsia="es-CO"/>
              </w:rPr>
              <w:t>Amazonas, Antioquia, Armenia, Bello, Bolívar, Bucaramanga, Buga, Caldas, Cali, Cartago, Casanare,</w:t>
            </w:r>
            <w:r w:rsidR="00A640E2">
              <w:rPr>
                <w:rFonts w:eastAsia="Times New Roman"/>
                <w:color w:val="000000"/>
                <w:sz w:val="18"/>
                <w:szCs w:val="18"/>
                <w:lang w:eastAsia="es-CO"/>
              </w:rPr>
              <w:t xml:space="preserve"> Cesar,</w:t>
            </w:r>
            <w:r w:rsidRPr="00202C78">
              <w:rPr>
                <w:rFonts w:eastAsia="Times New Roman"/>
                <w:color w:val="000000"/>
                <w:sz w:val="18"/>
                <w:szCs w:val="18"/>
                <w:lang w:eastAsia="es-CO"/>
              </w:rPr>
              <w:t xml:space="preserve"> Chía, Cundinamarca, Dosquebradas, Duitama, Envigado, Facatativá, Florencia, Funza, Fusagasugá, Girardot, Guaviare, Ibagué, Ipiales, Jamundí, La Guajira, </w:t>
            </w:r>
            <w:r w:rsidR="00EC4CB2" w:rsidRPr="00202C78">
              <w:rPr>
                <w:rFonts w:eastAsia="Times New Roman"/>
                <w:color w:val="000000"/>
                <w:sz w:val="18"/>
                <w:szCs w:val="18"/>
                <w:lang w:eastAsia="es-CO"/>
              </w:rPr>
              <w:t>Lorica</w:t>
            </w:r>
            <w:r w:rsidRPr="00202C78">
              <w:rPr>
                <w:rFonts w:eastAsia="Times New Roman"/>
                <w:color w:val="000000"/>
                <w:sz w:val="18"/>
                <w:szCs w:val="18"/>
                <w:lang w:eastAsia="es-CO"/>
              </w:rPr>
              <w:t xml:space="preserve">, Magangué, Malambo, </w:t>
            </w:r>
            <w:r w:rsidR="006C09E0" w:rsidRPr="00202C78">
              <w:rPr>
                <w:rFonts w:eastAsia="Times New Roman"/>
                <w:color w:val="000000"/>
                <w:sz w:val="18"/>
                <w:szCs w:val="18"/>
                <w:lang w:eastAsia="es-CO"/>
              </w:rPr>
              <w:t xml:space="preserve">Manizales </w:t>
            </w:r>
            <w:r w:rsidRPr="00202C78">
              <w:rPr>
                <w:rFonts w:eastAsia="Times New Roman"/>
                <w:color w:val="000000"/>
                <w:sz w:val="18"/>
                <w:szCs w:val="18"/>
                <w:lang w:eastAsia="es-CO"/>
              </w:rPr>
              <w:t xml:space="preserve">Medellín, Meta, Mosquera, Nariño, Norte de Santander, Palmira, Pasto, Piedecuesta, </w:t>
            </w:r>
            <w:r w:rsidR="008D3D92" w:rsidRPr="00202C78">
              <w:rPr>
                <w:rFonts w:eastAsia="Times New Roman"/>
                <w:color w:val="000000"/>
                <w:sz w:val="18"/>
                <w:szCs w:val="18"/>
                <w:lang w:eastAsia="es-CO"/>
              </w:rPr>
              <w:t xml:space="preserve">Popayán, Quindío, Riohacha, </w:t>
            </w:r>
            <w:r w:rsidRPr="00202C78">
              <w:rPr>
                <w:rFonts w:eastAsia="Times New Roman"/>
                <w:color w:val="000000"/>
                <w:sz w:val="18"/>
                <w:szCs w:val="18"/>
                <w:lang w:eastAsia="es-CO"/>
              </w:rPr>
              <w:t xml:space="preserve">Rionegro, Risaralda,  Sabaneta,  </w:t>
            </w:r>
            <w:r w:rsidR="007B412B">
              <w:rPr>
                <w:rFonts w:eastAsia="Times New Roman"/>
                <w:color w:val="000000"/>
                <w:sz w:val="18"/>
                <w:szCs w:val="18"/>
                <w:lang w:eastAsia="es-CO"/>
              </w:rPr>
              <w:t xml:space="preserve">Santa Marta, </w:t>
            </w:r>
            <w:r w:rsidRPr="00202C78">
              <w:rPr>
                <w:rFonts w:eastAsia="Times New Roman"/>
                <w:color w:val="000000"/>
                <w:sz w:val="18"/>
                <w:szCs w:val="18"/>
                <w:lang w:eastAsia="es-CO"/>
              </w:rPr>
              <w:t>Soacha, Sogamoso, Soledad, Tolima, Tuluá, Uribia, Valle del Cauca,  Vaupés,</w:t>
            </w:r>
            <w:r w:rsidR="00FA7A44" w:rsidRPr="00202C78">
              <w:rPr>
                <w:rFonts w:eastAsia="Times New Roman"/>
                <w:color w:val="000000"/>
                <w:sz w:val="18"/>
                <w:szCs w:val="18"/>
                <w:lang w:eastAsia="es-CO"/>
              </w:rPr>
              <w:t xml:space="preserve"> Villavicencio, </w:t>
            </w:r>
            <w:r w:rsidRPr="00202C78">
              <w:rPr>
                <w:rFonts w:eastAsia="Times New Roman"/>
                <w:color w:val="000000"/>
                <w:sz w:val="18"/>
                <w:szCs w:val="18"/>
                <w:lang w:eastAsia="es-CO"/>
              </w:rPr>
              <w:t xml:space="preserve"> Zipaquirá.</w:t>
            </w:r>
          </w:p>
        </w:tc>
      </w:tr>
      <w:tr w:rsidR="009D37D7" w:rsidRPr="001F0A92" w14:paraId="59605969" w14:textId="77777777" w:rsidTr="0023538B">
        <w:trPr>
          <w:trHeight w:val="454"/>
        </w:trPr>
        <w:tc>
          <w:tcPr>
            <w:tcW w:w="2410" w:type="dxa"/>
            <w:vMerge/>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25084F54" w14:textId="77777777" w:rsidR="009D37D7" w:rsidRPr="00202C78" w:rsidRDefault="009D37D7" w:rsidP="00DD3EC4">
            <w:pPr>
              <w:ind w:left="-709" w:firstLine="709"/>
              <w:rPr>
                <w:rFonts w:eastAsia="Times New Roman"/>
                <w:b/>
                <w:bCs/>
                <w:color w:val="000000"/>
                <w:sz w:val="18"/>
                <w:szCs w:val="18"/>
                <w:lang w:eastAsia="es-CO"/>
              </w:rPr>
            </w:pPr>
          </w:p>
        </w:tc>
        <w:tc>
          <w:tcPr>
            <w:tcW w:w="567" w:type="dxa"/>
            <w:vMerge/>
            <w:tcBorders>
              <w:top w:val="nil"/>
              <w:left w:val="single" w:sz="4" w:space="0" w:color="auto"/>
              <w:bottom w:val="single" w:sz="4" w:space="0" w:color="auto"/>
              <w:right w:val="single" w:sz="4" w:space="0" w:color="auto"/>
            </w:tcBorders>
            <w:shd w:val="clear" w:color="auto" w:fill="auto"/>
            <w:vAlign w:val="center"/>
            <w:hideMark/>
          </w:tcPr>
          <w:p w14:paraId="4AD81964" w14:textId="77777777" w:rsidR="009D37D7" w:rsidRPr="00202C78" w:rsidRDefault="009D37D7" w:rsidP="00DD3EC4">
            <w:pPr>
              <w:ind w:left="-709" w:firstLine="709"/>
              <w:jc w:val="center"/>
              <w:rPr>
                <w:rFonts w:eastAsia="Times New Roman"/>
                <w:b/>
                <w:bCs/>
                <w:color w:val="000000"/>
                <w:sz w:val="18"/>
                <w:szCs w:val="18"/>
                <w:lang w:eastAsia="es-CO"/>
              </w:rPr>
            </w:pPr>
          </w:p>
        </w:tc>
        <w:tc>
          <w:tcPr>
            <w:tcW w:w="7320" w:type="dxa"/>
            <w:vMerge/>
            <w:tcBorders>
              <w:top w:val="nil"/>
              <w:left w:val="single" w:sz="4" w:space="0" w:color="auto"/>
              <w:bottom w:val="single" w:sz="4" w:space="0" w:color="auto"/>
              <w:right w:val="single" w:sz="4" w:space="0" w:color="auto"/>
            </w:tcBorders>
            <w:shd w:val="clear" w:color="auto" w:fill="auto"/>
            <w:vAlign w:val="center"/>
            <w:hideMark/>
          </w:tcPr>
          <w:p w14:paraId="5F52DCEE" w14:textId="77777777" w:rsidR="009D37D7" w:rsidRPr="00202C78" w:rsidRDefault="009D37D7" w:rsidP="00DD3EC4">
            <w:pPr>
              <w:ind w:left="-709" w:firstLine="709"/>
              <w:rPr>
                <w:rFonts w:eastAsia="Times New Roman"/>
                <w:color w:val="000000"/>
                <w:sz w:val="18"/>
                <w:szCs w:val="18"/>
                <w:lang w:eastAsia="es-CO"/>
              </w:rPr>
            </w:pPr>
          </w:p>
        </w:tc>
      </w:tr>
      <w:tr w:rsidR="009D37D7" w:rsidRPr="001F0A92" w14:paraId="052D658C" w14:textId="77777777" w:rsidTr="0023538B">
        <w:trPr>
          <w:trHeight w:val="298"/>
        </w:trPr>
        <w:tc>
          <w:tcPr>
            <w:tcW w:w="241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6052E4EA" w14:textId="03133B8E" w:rsidR="009D37D7" w:rsidRPr="00202C78" w:rsidRDefault="009D37D7" w:rsidP="00A22A8F">
            <w:pPr>
              <w:rPr>
                <w:rFonts w:eastAsia="Times New Roman"/>
                <w:b/>
                <w:bCs/>
                <w:color w:val="000000"/>
                <w:sz w:val="18"/>
                <w:szCs w:val="18"/>
                <w:lang w:eastAsia="es-CO"/>
              </w:rPr>
            </w:pPr>
            <w:r w:rsidRPr="00202C78">
              <w:rPr>
                <w:rFonts w:eastAsia="Times New Roman"/>
                <w:b/>
                <w:bCs/>
                <w:color w:val="000000"/>
                <w:sz w:val="18"/>
                <w:szCs w:val="18"/>
                <w:lang w:eastAsia="es-CO"/>
              </w:rPr>
              <w:lastRenderedPageBreak/>
              <w:t xml:space="preserve">Preparada en Sitio </w:t>
            </w:r>
            <w:r w:rsidR="00E702B9" w:rsidRPr="00202C78">
              <w:rPr>
                <w:rFonts w:eastAsia="Times New Roman"/>
                <w:b/>
                <w:bCs/>
                <w:color w:val="000000"/>
                <w:sz w:val="18"/>
                <w:szCs w:val="18"/>
                <w:lang w:eastAsia="es-CO"/>
              </w:rPr>
              <w:t>y Comida</w:t>
            </w:r>
            <w:r w:rsidRPr="00202C78">
              <w:rPr>
                <w:rFonts w:eastAsia="Times New Roman"/>
                <w:b/>
                <w:bCs/>
                <w:color w:val="000000"/>
                <w:sz w:val="18"/>
                <w:szCs w:val="18"/>
                <w:lang w:eastAsia="es-CO"/>
              </w:rPr>
              <w:t xml:space="preserve"> Caliente Transportada</w:t>
            </w:r>
          </w:p>
        </w:tc>
        <w:tc>
          <w:tcPr>
            <w:tcW w:w="567" w:type="dxa"/>
            <w:tcBorders>
              <w:top w:val="nil"/>
              <w:left w:val="nil"/>
              <w:bottom w:val="single" w:sz="4" w:space="0" w:color="auto"/>
              <w:right w:val="single" w:sz="4" w:space="0" w:color="auto"/>
            </w:tcBorders>
            <w:shd w:val="clear" w:color="auto" w:fill="auto"/>
            <w:noWrap/>
            <w:vAlign w:val="center"/>
            <w:hideMark/>
          </w:tcPr>
          <w:p w14:paraId="6724C1B1" w14:textId="77777777" w:rsidR="009D37D7" w:rsidRPr="00202C78" w:rsidRDefault="009D37D7" w:rsidP="00DD3EC4">
            <w:pPr>
              <w:ind w:left="-709" w:firstLine="709"/>
              <w:jc w:val="center"/>
              <w:rPr>
                <w:rFonts w:eastAsia="Times New Roman"/>
                <w:b/>
                <w:bCs/>
                <w:color w:val="000000"/>
                <w:sz w:val="18"/>
                <w:szCs w:val="18"/>
                <w:lang w:eastAsia="es-CO"/>
              </w:rPr>
            </w:pPr>
            <w:r w:rsidRPr="00202C78">
              <w:rPr>
                <w:rFonts w:eastAsia="Times New Roman"/>
                <w:b/>
                <w:bCs/>
                <w:color w:val="000000"/>
                <w:sz w:val="18"/>
                <w:szCs w:val="18"/>
                <w:lang w:eastAsia="es-CO"/>
              </w:rPr>
              <w:t>1</w:t>
            </w:r>
          </w:p>
        </w:tc>
        <w:tc>
          <w:tcPr>
            <w:tcW w:w="7320" w:type="dxa"/>
            <w:tcBorders>
              <w:top w:val="nil"/>
              <w:left w:val="nil"/>
              <w:bottom w:val="single" w:sz="4" w:space="0" w:color="auto"/>
              <w:right w:val="single" w:sz="4" w:space="0" w:color="auto"/>
            </w:tcBorders>
            <w:shd w:val="clear" w:color="auto" w:fill="auto"/>
            <w:vAlign w:val="center"/>
            <w:hideMark/>
          </w:tcPr>
          <w:p w14:paraId="08279798" w14:textId="035DF5B9" w:rsidR="009D37D7" w:rsidRPr="00202C78" w:rsidRDefault="009D37D7" w:rsidP="00B70454">
            <w:pPr>
              <w:ind w:left="71"/>
              <w:rPr>
                <w:rFonts w:eastAsia="Times New Roman"/>
                <w:color w:val="000000"/>
                <w:sz w:val="18"/>
                <w:szCs w:val="18"/>
                <w:lang w:eastAsia="es-CO"/>
              </w:rPr>
            </w:pPr>
            <w:r w:rsidRPr="00202C78">
              <w:rPr>
                <w:rFonts w:eastAsia="Times New Roman"/>
                <w:color w:val="000000"/>
                <w:sz w:val="18"/>
                <w:szCs w:val="18"/>
                <w:lang w:eastAsia="es-CO"/>
              </w:rPr>
              <w:t>Tumaco</w:t>
            </w:r>
            <w:r w:rsidR="00EC4CB2" w:rsidRPr="00202C78">
              <w:rPr>
                <w:rFonts w:eastAsia="Times New Roman"/>
                <w:color w:val="000000"/>
                <w:sz w:val="18"/>
                <w:szCs w:val="18"/>
                <w:lang w:eastAsia="es-CO"/>
              </w:rPr>
              <w:t>.</w:t>
            </w:r>
          </w:p>
        </w:tc>
      </w:tr>
      <w:tr w:rsidR="009D37D7" w:rsidRPr="001F0A92" w14:paraId="66E03C96" w14:textId="77777777" w:rsidTr="0023538B">
        <w:trPr>
          <w:trHeight w:val="298"/>
        </w:trPr>
        <w:tc>
          <w:tcPr>
            <w:tcW w:w="2410"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14:paraId="399D6508" w14:textId="77777777" w:rsidR="009D37D7" w:rsidRPr="00202C78" w:rsidRDefault="009D37D7" w:rsidP="00DD3EC4">
            <w:pPr>
              <w:ind w:left="-709" w:firstLine="709"/>
              <w:rPr>
                <w:rFonts w:eastAsia="Times New Roman"/>
                <w:b/>
                <w:bCs/>
                <w:color w:val="000000"/>
                <w:sz w:val="18"/>
                <w:szCs w:val="18"/>
                <w:lang w:eastAsia="es-CO"/>
              </w:rPr>
            </w:pPr>
            <w:r w:rsidRPr="00202C78">
              <w:rPr>
                <w:rFonts w:eastAsia="Times New Roman"/>
                <w:b/>
                <w:bCs/>
                <w:color w:val="000000"/>
                <w:sz w:val="18"/>
                <w:szCs w:val="18"/>
                <w:lang w:eastAsia="es-CO"/>
              </w:rPr>
              <w:t xml:space="preserve">Preparada en Sitio,  </w:t>
            </w:r>
          </w:p>
          <w:p w14:paraId="6639AE15" w14:textId="77777777" w:rsidR="009D37D7" w:rsidRPr="00202C78" w:rsidRDefault="009D37D7" w:rsidP="00DD3EC4">
            <w:pPr>
              <w:rPr>
                <w:rFonts w:eastAsia="Times New Roman"/>
                <w:b/>
                <w:bCs/>
                <w:color w:val="000000"/>
                <w:sz w:val="18"/>
                <w:szCs w:val="18"/>
                <w:lang w:eastAsia="es-CO"/>
              </w:rPr>
            </w:pPr>
            <w:r w:rsidRPr="00202C78">
              <w:rPr>
                <w:rFonts w:eastAsia="Times New Roman"/>
                <w:b/>
                <w:bCs/>
                <w:color w:val="000000"/>
                <w:sz w:val="18"/>
                <w:szCs w:val="18"/>
                <w:lang w:eastAsia="es-CO"/>
              </w:rPr>
              <w:t>Industrializada y Comida Caliente Transportada</w:t>
            </w:r>
          </w:p>
        </w:tc>
        <w:tc>
          <w:tcPr>
            <w:tcW w:w="567" w:type="dxa"/>
            <w:tcBorders>
              <w:top w:val="nil"/>
              <w:left w:val="nil"/>
              <w:bottom w:val="single" w:sz="4" w:space="0" w:color="auto"/>
              <w:right w:val="single" w:sz="4" w:space="0" w:color="auto"/>
            </w:tcBorders>
            <w:shd w:val="clear" w:color="auto" w:fill="auto"/>
            <w:noWrap/>
            <w:vAlign w:val="center"/>
            <w:hideMark/>
          </w:tcPr>
          <w:p w14:paraId="4DD85516" w14:textId="2A8110CE" w:rsidR="009D37D7" w:rsidRPr="00202C78" w:rsidRDefault="00604F1A" w:rsidP="00DD3EC4">
            <w:pPr>
              <w:ind w:left="-709" w:firstLine="709"/>
              <w:jc w:val="center"/>
              <w:rPr>
                <w:rFonts w:eastAsia="Times New Roman"/>
                <w:b/>
                <w:bCs/>
                <w:color w:val="000000"/>
                <w:sz w:val="18"/>
                <w:szCs w:val="18"/>
                <w:lang w:eastAsia="es-CO"/>
              </w:rPr>
            </w:pPr>
            <w:r>
              <w:rPr>
                <w:rFonts w:eastAsia="Times New Roman"/>
                <w:b/>
                <w:bCs/>
                <w:color w:val="000000"/>
                <w:sz w:val="18"/>
                <w:szCs w:val="18"/>
                <w:lang w:eastAsia="es-CO"/>
              </w:rPr>
              <w:t>6</w:t>
            </w:r>
          </w:p>
        </w:tc>
        <w:tc>
          <w:tcPr>
            <w:tcW w:w="7320" w:type="dxa"/>
            <w:tcBorders>
              <w:top w:val="nil"/>
              <w:left w:val="nil"/>
              <w:bottom w:val="single" w:sz="4" w:space="0" w:color="auto"/>
              <w:right w:val="single" w:sz="4" w:space="0" w:color="auto"/>
            </w:tcBorders>
            <w:shd w:val="clear" w:color="auto" w:fill="auto"/>
            <w:vAlign w:val="center"/>
            <w:hideMark/>
          </w:tcPr>
          <w:p w14:paraId="7F4517B0" w14:textId="47B580ED" w:rsidR="009D37D7" w:rsidRPr="00202C78" w:rsidRDefault="009D37D7" w:rsidP="00B70454">
            <w:pPr>
              <w:ind w:left="71"/>
              <w:rPr>
                <w:rFonts w:eastAsia="Times New Roman"/>
                <w:color w:val="000000"/>
                <w:sz w:val="18"/>
                <w:szCs w:val="18"/>
                <w:lang w:eastAsia="es-CO"/>
              </w:rPr>
            </w:pPr>
            <w:r w:rsidRPr="00202C78">
              <w:rPr>
                <w:rFonts w:eastAsia="Times New Roman"/>
                <w:color w:val="000000"/>
                <w:sz w:val="18"/>
                <w:szCs w:val="18"/>
                <w:lang w:eastAsia="es-CO"/>
              </w:rPr>
              <w:t>Barranquilla, Bogotá,</w:t>
            </w:r>
            <w:r w:rsidR="0045779F" w:rsidRPr="00202C78">
              <w:rPr>
                <w:rFonts w:eastAsia="Times New Roman"/>
                <w:color w:val="000000"/>
                <w:sz w:val="18"/>
                <w:szCs w:val="18"/>
                <w:lang w:eastAsia="es-CO"/>
              </w:rPr>
              <w:t xml:space="preserve"> </w:t>
            </w:r>
            <w:r w:rsidRPr="00202C78">
              <w:rPr>
                <w:rFonts w:eastAsia="Times New Roman"/>
                <w:color w:val="000000"/>
                <w:sz w:val="18"/>
                <w:szCs w:val="18"/>
                <w:lang w:eastAsia="es-CO"/>
              </w:rPr>
              <w:t>Maicao, Pereira, San Andrés</w:t>
            </w:r>
            <w:r w:rsidR="00604F1A">
              <w:rPr>
                <w:rFonts w:eastAsia="Times New Roman"/>
                <w:color w:val="000000"/>
                <w:sz w:val="18"/>
                <w:szCs w:val="18"/>
                <w:lang w:eastAsia="es-CO"/>
              </w:rPr>
              <w:t>, Valledupar</w:t>
            </w:r>
          </w:p>
        </w:tc>
      </w:tr>
    </w:tbl>
    <w:p w14:paraId="43812341" w14:textId="47EBC8C6" w:rsidR="00686EA4" w:rsidRDefault="00686EA4" w:rsidP="00DD3EC4">
      <w:pPr>
        <w:ind w:left="-709" w:firstLine="709"/>
        <w:rPr>
          <w:sz w:val="16"/>
          <w:szCs w:val="16"/>
        </w:rPr>
      </w:pPr>
    </w:p>
    <w:p w14:paraId="3B821D23" w14:textId="77777777" w:rsidR="00805D29" w:rsidRPr="0082335A" w:rsidRDefault="00805D29" w:rsidP="00DD3EC4">
      <w:pPr>
        <w:ind w:left="-709" w:firstLine="709"/>
        <w:rPr>
          <w:sz w:val="16"/>
          <w:szCs w:val="16"/>
        </w:rPr>
      </w:pPr>
    </w:p>
    <w:p w14:paraId="745B28EC" w14:textId="4186A8A5" w:rsidR="0082335A" w:rsidRPr="000A5E7B" w:rsidRDefault="00125D1E" w:rsidP="000A5E7B">
      <w:pPr>
        <w:ind w:left="-709"/>
        <w:jc w:val="both"/>
        <w:rPr>
          <w:i/>
          <w:iCs/>
          <w:sz w:val="20"/>
          <w:szCs w:val="20"/>
        </w:rPr>
      </w:pPr>
      <w:r w:rsidRPr="000A6C8A">
        <w:rPr>
          <w:i/>
          <w:iCs/>
          <w:sz w:val="20"/>
          <w:szCs w:val="20"/>
        </w:rPr>
        <w:t>Observaciones con relación a la modalidad de atención</w:t>
      </w:r>
      <w:r w:rsidR="002A6E7C">
        <w:rPr>
          <w:i/>
          <w:iCs/>
          <w:sz w:val="20"/>
          <w:szCs w:val="20"/>
        </w:rPr>
        <w:t xml:space="preserve"> industrializada</w:t>
      </w:r>
      <w:r w:rsidRPr="000A6C8A">
        <w:rPr>
          <w:i/>
          <w:iCs/>
          <w:sz w:val="20"/>
          <w:szCs w:val="20"/>
        </w:rPr>
        <w:t xml:space="preserve"> (*): </w:t>
      </w:r>
    </w:p>
    <w:tbl>
      <w:tblPr>
        <w:tblStyle w:val="Tablaconcuadrcula"/>
        <w:tblW w:w="10348" w:type="dxa"/>
        <w:tblInd w:w="-714" w:type="dxa"/>
        <w:tblLook w:val="04A0" w:firstRow="1" w:lastRow="0" w:firstColumn="1" w:lastColumn="0" w:noHBand="0" w:noVBand="1"/>
      </w:tblPr>
      <w:tblGrid>
        <w:gridCol w:w="1937"/>
        <w:gridCol w:w="8411"/>
      </w:tblGrid>
      <w:tr w:rsidR="00125D1E" w:rsidRPr="00755759" w14:paraId="551CAEC5" w14:textId="77777777" w:rsidTr="000A5E7B">
        <w:trPr>
          <w:trHeight w:val="70"/>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4EC228" w14:textId="77777777" w:rsidR="00125D1E" w:rsidRPr="002124F9" w:rsidRDefault="00125D1E" w:rsidP="00DD3EC4">
            <w:pPr>
              <w:ind w:left="-709" w:firstLine="709"/>
              <w:jc w:val="center"/>
              <w:rPr>
                <w:b/>
                <w:bCs/>
                <w:sz w:val="18"/>
                <w:szCs w:val="18"/>
                <w:lang w:val="es-CO"/>
              </w:rPr>
            </w:pPr>
            <w:r w:rsidRPr="002124F9">
              <w:rPr>
                <w:b/>
                <w:bCs/>
                <w:sz w:val="18"/>
                <w:szCs w:val="18"/>
                <w:lang w:val="es-CO"/>
              </w:rPr>
              <w:t>ETC</w:t>
            </w:r>
          </w:p>
        </w:tc>
        <w:tc>
          <w:tcPr>
            <w:tcW w:w="8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B4BEE" w14:textId="77777777" w:rsidR="00125D1E" w:rsidRPr="002124F9" w:rsidRDefault="00125D1E" w:rsidP="00DD3EC4">
            <w:pPr>
              <w:ind w:left="-709" w:firstLine="709"/>
              <w:jc w:val="center"/>
              <w:rPr>
                <w:b/>
                <w:bCs/>
                <w:sz w:val="18"/>
                <w:szCs w:val="18"/>
                <w:lang w:val="es-CO"/>
              </w:rPr>
            </w:pPr>
            <w:r w:rsidRPr="002124F9">
              <w:rPr>
                <w:b/>
                <w:bCs/>
                <w:sz w:val="18"/>
                <w:szCs w:val="18"/>
                <w:lang w:val="es-CO"/>
              </w:rPr>
              <w:t>OBSERVACIÓN</w:t>
            </w:r>
          </w:p>
        </w:tc>
      </w:tr>
      <w:tr w:rsidR="00125D1E" w:rsidRPr="00755759" w14:paraId="711C0071" w14:textId="77777777" w:rsidTr="000A5E7B">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5D3874" w14:textId="77777777" w:rsidR="00125D1E" w:rsidRPr="00CD7E5F" w:rsidRDefault="00125D1E" w:rsidP="00DD3EC4">
            <w:pPr>
              <w:ind w:left="-709" w:firstLine="709"/>
              <w:jc w:val="both"/>
              <w:rPr>
                <w:b/>
                <w:bCs/>
                <w:sz w:val="20"/>
                <w:szCs w:val="20"/>
                <w:lang w:val="es-CO"/>
              </w:rPr>
            </w:pPr>
            <w:r w:rsidRPr="00CD7E5F">
              <w:rPr>
                <w:b/>
                <w:bCs/>
                <w:sz w:val="20"/>
                <w:szCs w:val="20"/>
                <w:lang w:val="es-CO"/>
              </w:rPr>
              <w:t>ATLÁNTICO</w:t>
            </w:r>
          </w:p>
        </w:tc>
        <w:tc>
          <w:tcPr>
            <w:tcW w:w="8586" w:type="dxa"/>
            <w:tcBorders>
              <w:top w:val="single" w:sz="4" w:space="0" w:color="auto"/>
              <w:left w:val="single" w:sz="4" w:space="0" w:color="auto"/>
              <w:bottom w:val="single" w:sz="4" w:space="0" w:color="auto"/>
              <w:right w:val="single" w:sz="4" w:space="0" w:color="auto"/>
            </w:tcBorders>
            <w:vAlign w:val="center"/>
          </w:tcPr>
          <w:p w14:paraId="164BB2EE" w14:textId="6441D95D" w:rsidR="00125D1E" w:rsidRPr="00CD7E5F" w:rsidRDefault="000A6C8A" w:rsidP="00696155">
            <w:pPr>
              <w:ind w:left="25"/>
              <w:jc w:val="both"/>
              <w:rPr>
                <w:sz w:val="20"/>
                <w:szCs w:val="20"/>
                <w:lang w:val="es-CO"/>
              </w:rPr>
            </w:pPr>
            <w:r w:rsidRPr="00CD7E5F">
              <w:rPr>
                <w:color w:val="000000"/>
                <w:sz w:val="20"/>
                <w:szCs w:val="20"/>
                <w:lang w:val="es-CO"/>
              </w:rPr>
              <w:t xml:space="preserve">Se adelanta proceso de contratación para garantizar continuidad de la </w:t>
            </w:r>
            <w:r w:rsidR="00EA24C3" w:rsidRPr="00CD7E5F">
              <w:rPr>
                <w:color w:val="000000"/>
                <w:sz w:val="20"/>
                <w:szCs w:val="20"/>
                <w:lang w:val="es-CO"/>
              </w:rPr>
              <w:t>operación, atención</w:t>
            </w:r>
            <w:r w:rsidRPr="00CD7E5F">
              <w:rPr>
                <w:color w:val="000000"/>
                <w:sz w:val="20"/>
                <w:szCs w:val="20"/>
                <w:lang w:val="es-CO"/>
              </w:rPr>
              <w:t xml:space="preserve"> con modalidad RPS y RI.</w:t>
            </w:r>
          </w:p>
        </w:tc>
      </w:tr>
      <w:tr w:rsidR="00AA7C57" w:rsidRPr="00755759" w14:paraId="3BEBE492" w14:textId="77777777" w:rsidTr="000A5E7B">
        <w:trPr>
          <w:trHeight w:val="355"/>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6A767" w14:textId="6C087CB8" w:rsidR="00AA7C57" w:rsidRPr="00CD7E5F" w:rsidRDefault="00AA7C57" w:rsidP="00AA7C57">
            <w:pPr>
              <w:ind w:left="-709" w:firstLine="709"/>
              <w:jc w:val="both"/>
              <w:rPr>
                <w:b/>
                <w:bCs/>
                <w:sz w:val="20"/>
                <w:szCs w:val="20"/>
              </w:rPr>
            </w:pPr>
            <w:r w:rsidRPr="00CD7E5F">
              <w:rPr>
                <w:b/>
                <w:bCs/>
                <w:sz w:val="20"/>
                <w:szCs w:val="20"/>
              </w:rPr>
              <w:t>BARRANCABERMEJA</w:t>
            </w:r>
          </w:p>
        </w:tc>
        <w:tc>
          <w:tcPr>
            <w:tcW w:w="8586" w:type="dxa"/>
            <w:tcBorders>
              <w:top w:val="single" w:sz="4" w:space="0" w:color="auto"/>
              <w:left w:val="single" w:sz="4" w:space="0" w:color="auto"/>
              <w:bottom w:val="single" w:sz="4" w:space="0" w:color="auto"/>
              <w:right w:val="single" w:sz="4" w:space="0" w:color="auto"/>
            </w:tcBorders>
            <w:vAlign w:val="center"/>
          </w:tcPr>
          <w:p w14:paraId="5D310078" w14:textId="440B7854" w:rsidR="00AA7C57" w:rsidRPr="00CD7E5F" w:rsidRDefault="00AA7C57" w:rsidP="00AA7C57">
            <w:pPr>
              <w:ind w:left="25"/>
              <w:jc w:val="both"/>
              <w:rPr>
                <w:color w:val="000000"/>
                <w:sz w:val="20"/>
                <w:szCs w:val="20"/>
                <w:lang w:val="es-MX"/>
              </w:rPr>
            </w:pPr>
            <w:r w:rsidRPr="00CD7E5F">
              <w:rPr>
                <w:sz w:val="20"/>
                <w:szCs w:val="20"/>
                <w:lang w:val="es-CO"/>
              </w:rPr>
              <w:t>Suministran RI teniendo en cuenta las condiciones del contrato de la vigencia 2021.</w:t>
            </w:r>
          </w:p>
        </w:tc>
      </w:tr>
      <w:tr w:rsidR="00AA7C57" w:rsidRPr="00755759" w14:paraId="68969BAE" w14:textId="77777777" w:rsidTr="000A5E7B">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B67B9" w14:textId="4CB164AB" w:rsidR="00AA7C57" w:rsidRPr="00CD7E5F" w:rsidRDefault="00AA7C57" w:rsidP="00AA7C57">
            <w:pPr>
              <w:ind w:left="-709" w:firstLine="709"/>
              <w:jc w:val="both"/>
              <w:rPr>
                <w:b/>
                <w:bCs/>
                <w:sz w:val="20"/>
                <w:szCs w:val="20"/>
              </w:rPr>
            </w:pPr>
            <w:r w:rsidRPr="00CD7E5F">
              <w:rPr>
                <w:b/>
                <w:bCs/>
                <w:sz w:val="20"/>
                <w:szCs w:val="20"/>
              </w:rPr>
              <w:t>CARTAGENA</w:t>
            </w:r>
          </w:p>
        </w:tc>
        <w:tc>
          <w:tcPr>
            <w:tcW w:w="8586" w:type="dxa"/>
            <w:tcBorders>
              <w:top w:val="single" w:sz="4" w:space="0" w:color="auto"/>
              <w:left w:val="single" w:sz="4" w:space="0" w:color="auto"/>
              <w:bottom w:val="single" w:sz="4" w:space="0" w:color="auto"/>
              <w:right w:val="single" w:sz="4" w:space="0" w:color="auto"/>
            </w:tcBorders>
            <w:vAlign w:val="center"/>
          </w:tcPr>
          <w:p w14:paraId="77072801" w14:textId="5E3AE471" w:rsidR="00AA7C57" w:rsidRPr="00CD7E5F" w:rsidRDefault="00AA7C57" w:rsidP="00AA7C57">
            <w:pPr>
              <w:ind w:left="25"/>
              <w:jc w:val="both"/>
              <w:rPr>
                <w:color w:val="000000"/>
                <w:sz w:val="20"/>
                <w:szCs w:val="20"/>
                <w:lang w:val="es-MX"/>
              </w:rPr>
            </w:pPr>
            <w:r w:rsidRPr="00CD7E5F">
              <w:rPr>
                <w:color w:val="000000"/>
                <w:sz w:val="20"/>
                <w:szCs w:val="20"/>
                <w:lang w:val="es-MX"/>
              </w:rPr>
              <w:t xml:space="preserve">Informa que se </w:t>
            </w:r>
            <w:r w:rsidRPr="00CD7E5F">
              <w:rPr>
                <w:color w:val="000000"/>
                <w:sz w:val="20"/>
                <w:szCs w:val="20"/>
                <w:lang w:val="es-CO"/>
              </w:rPr>
              <w:t>realiza atención con RI en el 100% de las sedes y para garantizar continuidad se proyecta la atención con modalidad para preparar en sitio e industrializada</w:t>
            </w:r>
          </w:p>
        </w:tc>
      </w:tr>
      <w:tr w:rsidR="00AA7C57" w:rsidRPr="00755759" w14:paraId="72F34EC0" w14:textId="77777777" w:rsidTr="000A5E7B">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9E0CA" w14:textId="1793D0EA" w:rsidR="00AA7C57" w:rsidRPr="00CD7E5F" w:rsidRDefault="00AA7C57" w:rsidP="00AA7C57">
            <w:pPr>
              <w:ind w:left="-709" w:firstLine="709"/>
              <w:jc w:val="both"/>
              <w:rPr>
                <w:b/>
                <w:bCs/>
                <w:sz w:val="20"/>
                <w:szCs w:val="20"/>
                <w:lang w:val="es-CO"/>
              </w:rPr>
            </w:pPr>
            <w:r w:rsidRPr="00CD7E5F">
              <w:rPr>
                <w:b/>
                <w:bCs/>
                <w:sz w:val="20"/>
                <w:szCs w:val="20"/>
                <w:lang w:val="es-CO"/>
              </w:rPr>
              <w:t>CIÉNAGA</w:t>
            </w:r>
          </w:p>
        </w:tc>
        <w:tc>
          <w:tcPr>
            <w:tcW w:w="8586" w:type="dxa"/>
            <w:tcBorders>
              <w:top w:val="single" w:sz="4" w:space="0" w:color="auto"/>
              <w:left w:val="single" w:sz="4" w:space="0" w:color="auto"/>
              <w:bottom w:val="single" w:sz="4" w:space="0" w:color="auto"/>
              <w:right w:val="single" w:sz="4" w:space="0" w:color="auto"/>
            </w:tcBorders>
            <w:vAlign w:val="center"/>
            <w:hideMark/>
          </w:tcPr>
          <w:p w14:paraId="5F419B65" w14:textId="71132CB1" w:rsidR="00AA7C57" w:rsidRPr="00CD7E5F" w:rsidRDefault="00AA7C57" w:rsidP="00AA7C57">
            <w:pPr>
              <w:jc w:val="both"/>
              <w:rPr>
                <w:color w:val="000000"/>
                <w:sz w:val="20"/>
                <w:szCs w:val="20"/>
                <w:lang w:val="es-CO"/>
              </w:rPr>
            </w:pPr>
            <w:r w:rsidRPr="00CD7E5F">
              <w:rPr>
                <w:color w:val="000000"/>
                <w:sz w:val="20"/>
                <w:szCs w:val="20"/>
                <w:lang w:val="es-CO"/>
              </w:rPr>
              <w:t>Informa que debido a problemas de infraestructura y dotación de equipos no puede suministrar Ración preparada en sitio</w:t>
            </w:r>
            <w:r w:rsidR="002124F9" w:rsidRPr="00CD7E5F">
              <w:rPr>
                <w:color w:val="000000"/>
                <w:sz w:val="20"/>
                <w:szCs w:val="20"/>
                <w:lang w:val="es-CO"/>
              </w:rPr>
              <w:t>.</w:t>
            </w:r>
          </w:p>
        </w:tc>
      </w:tr>
      <w:tr w:rsidR="00AA7C57" w:rsidRPr="00755759" w14:paraId="56DC4DEB" w14:textId="77777777" w:rsidTr="000A5E7B">
        <w:trPr>
          <w:trHeight w:val="357"/>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10C84" w14:textId="7EFE906C" w:rsidR="00AA7C57" w:rsidRPr="00CD7E5F" w:rsidRDefault="00AA7C57" w:rsidP="00AA7C57">
            <w:pPr>
              <w:ind w:left="-709" w:firstLine="709"/>
              <w:jc w:val="both"/>
              <w:rPr>
                <w:b/>
                <w:bCs/>
                <w:sz w:val="20"/>
                <w:szCs w:val="20"/>
                <w:lang w:val="es-CO"/>
              </w:rPr>
            </w:pPr>
            <w:r w:rsidRPr="00CD7E5F">
              <w:rPr>
                <w:b/>
                <w:bCs/>
                <w:sz w:val="20"/>
                <w:szCs w:val="20"/>
                <w:lang w:val="es-CO"/>
              </w:rPr>
              <w:t>FLORIDABLANCA</w:t>
            </w:r>
          </w:p>
        </w:tc>
        <w:tc>
          <w:tcPr>
            <w:tcW w:w="8586" w:type="dxa"/>
            <w:tcBorders>
              <w:top w:val="single" w:sz="4" w:space="0" w:color="auto"/>
              <w:left w:val="single" w:sz="4" w:space="0" w:color="auto"/>
              <w:bottom w:val="single" w:sz="4" w:space="0" w:color="auto"/>
              <w:right w:val="single" w:sz="4" w:space="0" w:color="auto"/>
            </w:tcBorders>
            <w:vAlign w:val="center"/>
          </w:tcPr>
          <w:p w14:paraId="3DEA0C07" w14:textId="725C4410" w:rsidR="00AA7C57" w:rsidRPr="00CD7E5F" w:rsidRDefault="00AA7C57" w:rsidP="00AA7C57">
            <w:pPr>
              <w:ind w:left="25"/>
              <w:jc w:val="both"/>
              <w:rPr>
                <w:sz w:val="20"/>
                <w:szCs w:val="20"/>
                <w:lang w:val="es-CO"/>
              </w:rPr>
            </w:pPr>
            <w:r w:rsidRPr="00CD7E5F">
              <w:rPr>
                <w:sz w:val="20"/>
                <w:szCs w:val="20"/>
                <w:lang w:val="es-CO"/>
              </w:rPr>
              <w:t>Suministran RI teniendo en cuenta las condiciones del contrato de la vigencia 2021.</w:t>
            </w:r>
          </w:p>
        </w:tc>
      </w:tr>
      <w:tr w:rsidR="00AA7C57" w:rsidRPr="00755759" w14:paraId="670556BD" w14:textId="77777777" w:rsidTr="000A5E7B">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A6275B" w14:textId="46517772" w:rsidR="00AA7C57" w:rsidRPr="00CD7E5F" w:rsidRDefault="00AA7C57" w:rsidP="00AA7C57">
            <w:pPr>
              <w:ind w:left="-709" w:firstLine="709"/>
              <w:jc w:val="both"/>
              <w:rPr>
                <w:b/>
                <w:bCs/>
                <w:sz w:val="20"/>
                <w:szCs w:val="20"/>
                <w:lang w:val="es-CO"/>
              </w:rPr>
            </w:pPr>
            <w:r w:rsidRPr="00CD7E5F">
              <w:rPr>
                <w:b/>
                <w:bCs/>
                <w:sz w:val="20"/>
                <w:szCs w:val="20"/>
                <w:lang w:val="es-CO"/>
              </w:rPr>
              <w:t>MONTERÍA</w:t>
            </w:r>
          </w:p>
        </w:tc>
        <w:tc>
          <w:tcPr>
            <w:tcW w:w="8586" w:type="dxa"/>
            <w:tcBorders>
              <w:top w:val="single" w:sz="4" w:space="0" w:color="auto"/>
              <w:left w:val="single" w:sz="4" w:space="0" w:color="auto"/>
              <w:bottom w:val="single" w:sz="4" w:space="0" w:color="auto"/>
              <w:right w:val="single" w:sz="4" w:space="0" w:color="auto"/>
            </w:tcBorders>
            <w:vAlign w:val="center"/>
            <w:hideMark/>
          </w:tcPr>
          <w:p w14:paraId="6D40B8FB" w14:textId="5BE92082" w:rsidR="00AA7C57" w:rsidRPr="00CD7E5F" w:rsidRDefault="00AA7C57" w:rsidP="00AA7C57">
            <w:pPr>
              <w:ind w:left="25"/>
              <w:jc w:val="both"/>
              <w:rPr>
                <w:sz w:val="20"/>
                <w:szCs w:val="20"/>
                <w:lang w:val="es-CO"/>
              </w:rPr>
            </w:pPr>
            <w:r w:rsidRPr="00CD7E5F">
              <w:rPr>
                <w:color w:val="000000"/>
                <w:sz w:val="20"/>
                <w:szCs w:val="20"/>
                <w:lang w:val="es-CO"/>
              </w:rPr>
              <w:t xml:space="preserve">La ETC realizó prorroga al contrato LP-SEM-014-2020 y manifiesta que en atención a las condiciones de deterioro de la infraestructura de algunos comedores cocinas y sus deficientes protocolos de bioseguridad, así como el deterioro y perdida de menaje en la gran mayoría de las sedes educativas, </w:t>
            </w:r>
          </w:p>
        </w:tc>
      </w:tr>
    </w:tbl>
    <w:p w14:paraId="03848403" w14:textId="77777777" w:rsidR="00125D1E" w:rsidRPr="000A5E7B" w:rsidRDefault="00125D1E" w:rsidP="00DD3EC4">
      <w:pPr>
        <w:ind w:left="-709" w:firstLine="709"/>
        <w:jc w:val="both"/>
        <w:rPr>
          <w:sz w:val="2"/>
          <w:szCs w:val="2"/>
        </w:rPr>
      </w:pPr>
    </w:p>
    <w:p w14:paraId="4C324982" w14:textId="3D8FC94D" w:rsidR="00686EA4" w:rsidRDefault="00686EA4" w:rsidP="00DD3EC4">
      <w:pPr>
        <w:ind w:left="-709" w:firstLine="709"/>
        <w:rPr>
          <w:sz w:val="10"/>
          <w:szCs w:val="10"/>
        </w:rPr>
      </w:pPr>
    </w:p>
    <w:p w14:paraId="45B496B1" w14:textId="77777777" w:rsidR="004C7221" w:rsidRPr="000A6C8A" w:rsidRDefault="004C7221" w:rsidP="00DD3EC4">
      <w:pPr>
        <w:ind w:left="-709" w:firstLine="709"/>
        <w:rPr>
          <w:sz w:val="10"/>
          <w:szCs w:val="10"/>
        </w:rPr>
      </w:pPr>
    </w:p>
    <w:p w14:paraId="1A8844AC" w14:textId="2132E131" w:rsidR="0082335A" w:rsidRPr="00346DC1" w:rsidRDefault="0082335A" w:rsidP="00FF4FEA">
      <w:pPr>
        <w:ind w:left="-709" w:right="-377"/>
        <w:contextualSpacing/>
        <w:jc w:val="both"/>
        <w:rPr>
          <w:b/>
          <w:bCs/>
          <w:color w:val="1F3864" w:themeColor="accent5" w:themeShade="80"/>
          <w:sz w:val="2"/>
          <w:szCs w:val="2"/>
        </w:rPr>
      </w:pPr>
    </w:p>
    <w:p w14:paraId="73656760" w14:textId="6F80ED48" w:rsidR="00686EA4" w:rsidRPr="00346DC1" w:rsidRDefault="00686EA4" w:rsidP="007541DA">
      <w:pPr>
        <w:ind w:left="-709"/>
        <w:contextualSpacing/>
        <w:jc w:val="both"/>
        <w:rPr>
          <w:b/>
          <w:bCs/>
          <w:color w:val="1F3864" w:themeColor="accent5" w:themeShade="80"/>
        </w:rPr>
      </w:pPr>
      <w:r w:rsidRPr="00346DC1">
        <w:rPr>
          <w:b/>
          <w:bCs/>
          <w:color w:val="1F3864" w:themeColor="accent5" w:themeShade="80"/>
        </w:rPr>
        <w:t xml:space="preserve">El Cuadro No. 3 </w:t>
      </w:r>
      <w:r w:rsidR="002124F9" w:rsidRPr="00346DC1">
        <w:rPr>
          <w:b/>
          <w:bCs/>
          <w:color w:val="1F3864" w:themeColor="accent5" w:themeShade="80"/>
        </w:rPr>
        <w:t>presenta</w:t>
      </w:r>
      <w:r w:rsidRPr="00346DC1">
        <w:rPr>
          <w:b/>
          <w:bCs/>
          <w:color w:val="1F3864" w:themeColor="accent5" w:themeShade="80"/>
        </w:rPr>
        <w:t xml:space="preserve"> las alertas identificadas en el seguimiento a la gestión que adelantan las Entidades</w:t>
      </w:r>
      <w:r w:rsidR="002124F9" w:rsidRPr="00346DC1">
        <w:rPr>
          <w:b/>
          <w:bCs/>
          <w:color w:val="1F3864" w:themeColor="accent5" w:themeShade="80"/>
        </w:rPr>
        <w:t>.</w:t>
      </w:r>
    </w:p>
    <w:p w14:paraId="143BD413" w14:textId="77777777" w:rsidR="00686EA4" w:rsidRPr="0082335A" w:rsidRDefault="00686EA4" w:rsidP="00DD3EC4">
      <w:pPr>
        <w:ind w:left="-709" w:firstLine="709"/>
        <w:contextualSpacing/>
        <w:jc w:val="both"/>
        <w:rPr>
          <w:sz w:val="8"/>
          <w:szCs w:val="8"/>
        </w:rPr>
      </w:pPr>
    </w:p>
    <w:p w14:paraId="56439CAA" w14:textId="7C2EDC86" w:rsidR="00686EA4" w:rsidRPr="004A578B" w:rsidRDefault="00686EA4" w:rsidP="00FF4FEA">
      <w:pPr>
        <w:ind w:left="-709"/>
        <w:contextualSpacing/>
        <w:rPr>
          <w:rFonts w:asciiTheme="minorHAnsi" w:hAnsiTheme="minorHAnsi" w:cstheme="minorHAnsi"/>
          <w:sz w:val="20"/>
          <w:szCs w:val="20"/>
        </w:rPr>
      </w:pPr>
      <w:r w:rsidRPr="004A578B">
        <w:rPr>
          <w:rFonts w:asciiTheme="minorHAnsi" w:hAnsiTheme="minorHAnsi" w:cstheme="minorHAnsi"/>
          <w:b/>
          <w:bCs/>
          <w:sz w:val="20"/>
          <w:szCs w:val="20"/>
        </w:rPr>
        <w:t>Cuadro No. 3</w:t>
      </w:r>
      <w:r w:rsidRPr="004A578B">
        <w:rPr>
          <w:rFonts w:asciiTheme="minorHAnsi" w:hAnsiTheme="minorHAnsi" w:cstheme="minorHAnsi"/>
          <w:sz w:val="20"/>
          <w:szCs w:val="20"/>
        </w:rPr>
        <w:t>.  Alertas a la fecha de 1</w:t>
      </w:r>
      <w:r w:rsidR="00E00D44">
        <w:rPr>
          <w:rFonts w:asciiTheme="minorHAnsi" w:hAnsiTheme="minorHAnsi" w:cstheme="minorHAnsi"/>
          <w:sz w:val="20"/>
          <w:szCs w:val="20"/>
        </w:rPr>
        <w:t>0</w:t>
      </w:r>
      <w:r w:rsidRPr="004A578B">
        <w:rPr>
          <w:rFonts w:asciiTheme="minorHAnsi" w:hAnsiTheme="minorHAnsi" w:cstheme="minorHAnsi"/>
          <w:sz w:val="20"/>
          <w:szCs w:val="20"/>
        </w:rPr>
        <w:t xml:space="preserve"> ETC</w:t>
      </w:r>
      <w:r w:rsidR="000E5651" w:rsidRPr="004A578B">
        <w:rPr>
          <w:rFonts w:asciiTheme="minorHAnsi" w:hAnsiTheme="minorHAnsi" w:cstheme="minorHAnsi"/>
          <w:sz w:val="20"/>
          <w:szCs w:val="20"/>
        </w:rPr>
        <w:t xml:space="preserve"> (</w:t>
      </w:r>
      <w:r w:rsidR="000E5651" w:rsidRPr="004A578B">
        <w:rPr>
          <w:rFonts w:asciiTheme="minorHAnsi" w:hAnsiTheme="minorHAnsi" w:cstheme="minorHAnsi"/>
          <w:i/>
          <w:iCs/>
          <w:sz w:val="20"/>
          <w:szCs w:val="20"/>
        </w:rPr>
        <w:t>t</w:t>
      </w:r>
      <w:r w:rsidR="000E5651" w:rsidRPr="004A578B">
        <w:rPr>
          <w:rFonts w:asciiTheme="minorHAnsi" w:eastAsia="Times New Roman" w:hAnsiTheme="minorHAnsi" w:cstheme="minorHAnsi"/>
          <w:i/>
          <w:iCs/>
          <w:color w:val="000000"/>
          <w:sz w:val="20"/>
          <w:szCs w:val="20"/>
          <w:lang w:eastAsia="es-CO"/>
        </w:rPr>
        <w:t>eniendo en cuenta el reporte de cada E</w:t>
      </w:r>
      <w:r w:rsidR="002124F9" w:rsidRPr="004A578B">
        <w:rPr>
          <w:rFonts w:asciiTheme="minorHAnsi" w:eastAsia="Times New Roman" w:hAnsiTheme="minorHAnsi" w:cstheme="minorHAnsi"/>
          <w:i/>
          <w:iCs/>
          <w:color w:val="000000"/>
          <w:sz w:val="20"/>
          <w:szCs w:val="20"/>
          <w:lang w:eastAsia="es-CO"/>
        </w:rPr>
        <w:t>TC</w:t>
      </w:r>
      <w:r w:rsidR="000E5651" w:rsidRPr="004A578B">
        <w:rPr>
          <w:rFonts w:asciiTheme="minorHAnsi" w:eastAsia="Times New Roman" w:hAnsiTheme="minorHAnsi" w:cstheme="minorHAnsi"/>
          <w:i/>
          <w:iCs/>
          <w:color w:val="000000"/>
          <w:sz w:val="20"/>
          <w:szCs w:val="20"/>
          <w:lang w:eastAsia="es-CO"/>
        </w:rPr>
        <w:t xml:space="preserve"> para el presente periodo</w:t>
      </w:r>
      <w:r w:rsidR="000E5651" w:rsidRPr="004A578B">
        <w:rPr>
          <w:rFonts w:asciiTheme="minorHAnsi" w:hAnsiTheme="minorHAnsi" w:cstheme="minorHAnsi"/>
          <w:sz w:val="20"/>
          <w:szCs w:val="20"/>
        </w:rPr>
        <w:t>)</w:t>
      </w:r>
    </w:p>
    <w:tbl>
      <w:tblPr>
        <w:tblStyle w:val="Tablaconcuadrcula"/>
        <w:tblW w:w="10386" w:type="dxa"/>
        <w:tblInd w:w="-714" w:type="dxa"/>
        <w:tblLook w:val="04A0" w:firstRow="1" w:lastRow="0" w:firstColumn="1" w:lastColumn="0" w:noHBand="0" w:noVBand="1"/>
      </w:tblPr>
      <w:tblGrid>
        <w:gridCol w:w="1141"/>
        <w:gridCol w:w="1621"/>
        <w:gridCol w:w="7666"/>
      </w:tblGrid>
      <w:tr w:rsidR="000E5651" w:rsidRPr="004C7221" w14:paraId="6E3E781A" w14:textId="77777777" w:rsidTr="009C531E">
        <w:trPr>
          <w:trHeight w:val="284"/>
          <w:tblHeader/>
        </w:trPr>
        <w:tc>
          <w:tcPr>
            <w:tcW w:w="1141" w:type="dxa"/>
            <w:shd w:val="clear" w:color="auto" w:fill="8496B0" w:themeFill="text2" w:themeFillTint="99"/>
            <w:noWrap/>
            <w:vAlign w:val="center"/>
            <w:hideMark/>
          </w:tcPr>
          <w:p w14:paraId="4CDF4F6A" w14:textId="54EB12CC" w:rsidR="004B2D02" w:rsidRPr="004C7221" w:rsidRDefault="00367524" w:rsidP="00DD3EC4">
            <w:pPr>
              <w:ind w:left="-709" w:firstLine="709"/>
              <w:jc w:val="center"/>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REGIÓN</w:t>
            </w:r>
          </w:p>
        </w:tc>
        <w:tc>
          <w:tcPr>
            <w:tcW w:w="1579" w:type="dxa"/>
            <w:shd w:val="clear" w:color="auto" w:fill="8496B0" w:themeFill="text2" w:themeFillTint="99"/>
            <w:noWrap/>
            <w:vAlign w:val="center"/>
            <w:hideMark/>
          </w:tcPr>
          <w:p w14:paraId="2DF66216" w14:textId="77777777" w:rsidR="004B2D02" w:rsidRPr="004C7221" w:rsidRDefault="004B2D02" w:rsidP="00DD3EC4">
            <w:pPr>
              <w:ind w:left="-709" w:firstLine="709"/>
              <w:jc w:val="center"/>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ETC</w:t>
            </w:r>
          </w:p>
        </w:tc>
        <w:tc>
          <w:tcPr>
            <w:tcW w:w="7666" w:type="dxa"/>
            <w:shd w:val="clear" w:color="auto" w:fill="8496B0" w:themeFill="text2" w:themeFillTint="99"/>
            <w:noWrap/>
            <w:vAlign w:val="center"/>
            <w:hideMark/>
          </w:tcPr>
          <w:p w14:paraId="601DB1E5" w14:textId="7C455136" w:rsidR="004B2D02" w:rsidRPr="004C7221" w:rsidRDefault="004B2D02" w:rsidP="00FF4FEA">
            <w:pPr>
              <w:ind w:left="-709" w:firstLine="709"/>
              <w:jc w:val="center"/>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 xml:space="preserve">Alertas </w:t>
            </w:r>
            <w:r w:rsidR="002124F9" w:rsidRPr="004C7221">
              <w:rPr>
                <w:rFonts w:asciiTheme="minorHAnsi" w:eastAsia="Times New Roman" w:hAnsiTheme="minorHAnsi" w:cstheme="minorHAnsi"/>
                <w:b/>
                <w:bCs/>
                <w:color w:val="000000"/>
                <w:sz w:val="20"/>
                <w:szCs w:val="20"/>
                <w:lang w:val="es-CO" w:eastAsia="es-CO"/>
              </w:rPr>
              <w:t>evidenciadas (</w:t>
            </w:r>
            <w:r w:rsidRPr="004C7221">
              <w:rPr>
                <w:rFonts w:asciiTheme="minorHAnsi" w:eastAsia="Times New Roman" w:hAnsiTheme="minorHAnsi" w:cstheme="minorHAnsi"/>
                <w:b/>
                <w:bCs/>
                <w:color w:val="000000"/>
                <w:sz w:val="20"/>
                <w:szCs w:val="20"/>
                <w:lang w:val="es-CO" w:eastAsia="es-CO"/>
              </w:rPr>
              <w:t>según reportes y/o insumos suministrados por las Entidades)</w:t>
            </w:r>
          </w:p>
        </w:tc>
      </w:tr>
      <w:tr w:rsidR="00805D29" w:rsidRPr="004C7221" w14:paraId="75815434" w14:textId="77777777" w:rsidTr="009C531E">
        <w:trPr>
          <w:trHeight w:val="502"/>
        </w:trPr>
        <w:tc>
          <w:tcPr>
            <w:tcW w:w="1141" w:type="dxa"/>
            <w:vMerge w:val="restart"/>
            <w:noWrap/>
            <w:vAlign w:val="center"/>
            <w:hideMark/>
          </w:tcPr>
          <w:p w14:paraId="75FD2E8F" w14:textId="35BDB653" w:rsidR="00805D29" w:rsidRPr="004C7221" w:rsidRDefault="00805D29" w:rsidP="00805D29">
            <w:pPr>
              <w:ind w:left="-709" w:firstLine="709"/>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ANDINA</w:t>
            </w:r>
          </w:p>
          <w:p w14:paraId="4A086871" w14:textId="7407B8AC" w:rsidR="00805D29" w:rsidRPr="004C7221" w:rsidRDefault="00805D29" w:rsidP="00805D29">
            <w:pPr>
              <w:ind w:left="-709" w:firstLine="709"/>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w:t>
            </w:r>
            <w:r w:rsidR="00625E29">
              <w:rPr>
                <w:rFonts w:asciiTheme="minorHAnsi" w:eastAsia="Times New Roman" w:hAnsiTheme="minorHAnsi" w:cstheme="minorHAnsi"/>
                <w:b/>
                <w:bCs/>
                <w:color w:val="000000"/>
                <w:sz w:val="20"/>
                <w:szCs w:val="20"/>
                <w:lang w:val="es-CO" w:eastAsia="es-CO"/>
              </w:rPr>
              <w:t>3</w:t>
            </w:r>
            <w:r w:rsidRPr="004C7221">
              <w:rPr>
                <w:rFonts w:asciiTheme="minorHAnsi" w:eastAsia="Times New Roman" w:hAnsiTheme="minorHAnsi" w:cstheme="minorHAnsi"/>
                <w:b/>
                <w:bCs/>
                <w:color w:val="000000"/>
                <w:sz w:val="20"/>
                <w:szCs w:val="20"/>
                <w:lang w:val="es-CO" w:eastAsia="es-CO"/>
              </w:rPr>
              <w:t xml:space="preserve"> ETC)</w:t>
            </w:r>
          </w:p>
          <w:p w14:paraId="24BFF16A" w14:textId="026D4A08" w:rsidR="00805D29" w:rsidRPr="004C7221" w:rsidRDefault="00805D29" w:rsidP="00805D29">
            <w:pPr>
              <w:ind w:left="-709" w:firstLine="709"/>
              <w:rPr>
                <w:rFonts w:asciiTheme="minorHAnsi" w:eastAsia="Times New Roman" w:hAnsiTheme="minorHAnsi" w:cstheme="minorHAnsi"/>
                <w:b/>
                <w:bCs/>
                <w:color w:val="000000"/>
                <w:sz w:val="20"/>
                <w:szCs w:val="20"/>
                <w:lang w:val="es-CO" w:eastAsia="es-CO"/>
              </w:rPr>
            </w:pPr>
          </w:p>
        </w:tc>
        <w:tc>
          <w:tcPr>
            <w:tcW w:w="1579" w:type="dxa"/>
            <w:noWrap/>
            <w:vAlign w:val="center"/>
          </w:tcPr>
          <w:p w14:paraId="729D28D3" w14:textId="7190E10A" w:rsidR="00805D29" w:rsidRPr="00805D29" w:rsidRDefault="00805D29" w:rsidP="00805D29">
            <w:pPr>
              <w:ind w:left="-709" w:firstLine="709"/>
              <w:rPr>
                <w:rFonts w:asciiTheme="minorHAnsi" w:hAnsiTheme="minorHAnsi" w:cstheme="minorHAnsi"/>
                <w:b/>
                <w:bCs/>
                <w:sz w:val="20"/>
                <w:szCs w:val="20"/>
                <w:lang w:val="es-CO"/>
              </w:rPr>
            </w:pPr>
            <w:r w:rsidRPr="00805D29">
              <w:rPr>
                <w:rFonts w:asciiTheme="minorHAnsi" w:hAnsiTheme="minorHAnsi" w:cstheme="minorHAnsi"/>
                <w:b/>
                <w:bCs/>
                <w:sz w:val="20"/>
                <w:szCs w:val="20"/>
                <w:lang w:val="es-CO"/>
              </w:rPr>
              <w:t>NEIVA</w:t>
            </w:r>
          </w:p>
        </w:tc>
        <w:tc>
          <w:tcPr>
            <w:tcW w:w="7666" w:type="dxa"/>
            <w:vAlign w:val="center"/>
          </w:tcPr>
          <w:p w14:paraId="12342522" w14:textId="12689AB0" w:rsidR="00805D29" w:rsidRPr="00805D29" w:rsidRDefault="00805D29" w:rsidP="00805D29">
            <w:pPr>
              <w:ind w:left="4"/>
              <w:jc w:val="both"/>
              <w:rPr>
                <w:rFonts w:asciiTheme="minorHAnsi" w:hAnsiTheme="minorHAnsi" w:cstheme="minorHAnsi"/>
                <w:sz w:val="20"/>
                <w:szCs w:val="20"/>
                <w:lang w:val="es-CO"/>
              </w:rPr>
            </w:pPr>
            <w:r w:rsidRPr="00805D29">
              <w:rPr>
                <w:rFonts w:asciiTheme="minorHAnsi" w:hAnsiTheme="minorHAnsi" w:cstheme="minorHAnsi"/>
                <w:sz w:val="20"/>
                <w:szCs w:val="20"/>
                <w:lang w:val="es-CO"/>
              </w:rPr>
              <w:t>Teniendo en cuenta el reporte de la Entidad para el presente periodo informa que se adelantó proceso de licitación pública número MNSEMLPCPS- 002-2022, proceso adjudicado el 28 de marzo de 2022 al consorcio UNION TEMPORAL CBS 2022. Encontrándose en la etapa de perfeccionamiento de contrato. No ha reportado inicio de la prestación del servicio.</w:t>
            </w:r>
          </w:p>
        </w:tc>
      </w:tr>
      <w:tr w:rsidR="00805D29" w:rsidRPr="004C7221" w14:paraId="57EAE046" w14:textId="77777777" w:rsidTr="009C531E">
        <w:trPr>
          <w:trHeight w:val="502"/>
        </w:trPr>
        <w:tc>
          <w:tcPr>
            <w:tcW w:w="1141" w:type="dxa"/>
            <w:vMerge/>
            <w:noWrap/>
            <w:vAlign w:val="center"/>
          </w:tcPr>
          <w:p w14:paraId="3FA5C4A3" w14:textId="77777777" w:rsidR="00805D29" w:rsidRPr="004C7221" w:rsidRDefault="00805D29" w:rsidP="00805D29">
            <w:pPr>
              <w:ind w:left="-709" w:firstLine="709"/>
              <w:rPr>
                <w:rFonts w:asciiTheme="minorHAnsi" w:eastAsia="Times New Roman" w:hAnsiTheme="minorHAnsi" w:cstheme="minorHAnsi"/>
                <w:b/>
                <w:bCs/>
                <w:color w:val="000000"/>
                <w:sz w:val="20"/>
                <w:szCs w:val="20"/>
                <w:lang w:eastAsia="es-CO"/>
              </w:rPr>
            </w:pPr>
          </w:p>
        </w:tc>
        <w:tc>
          <w:tcPr>
            <w:tcW w:w="1579" w:type="dxa"/>
            <w:noWrap/>
            <w:vAlign w:val="center"/>
          </w:tcPr>
          <w:p w14:paraId="55757E33" w14:textId="52030749" w:rsidR="00805D29" w:rsidRPr="00805D29" w:rsidRDefault="00805D29" w:rsidP="00805D29">
            <w:pPr>
              <w:ind w:left="-709" w:firstLine="709"/>
              <w:rPr>
                <w:rFonts w:asciiTheme="minorHAnsi" w:hAnsiTheme="minorHAnsi" w:cstheme="minorHAnsi"/>
                <w:b/>
                <w:bCs/>
                <w:sz w:val="20"/>
                <w:szCs w:val="20"/>
                <w:lang w:val="es-CO"/>
              </w:rPr>
            </w:pPr>
            <w:r w:rsidRPr="00805D29">
              <w:rPr>
                <w:rFonts w:asciiTheme="minorHAnsi" w:hAnsiTheme="minorHAnsi" w:cstheme="minorHAnsi"/>
                <w:b/>
                <w:bCs/>
                <w:sz w:val="20"/>
                <w:szCs w:val="20"/>
                <w:lang w:val="es-CO"/>
              </w:rPr>
              <w:t>CÚCUTA</w:t>
            </w:r>
          </w:p>
        </w:tc>
        <w:tc>
          <w:tcPr>
            <w:tcW w:w="7666" w:type="dxa"/>
            <w:vAlign w:val="center"/>
          </w:tcPr>
          <w:p w14:paraId="17775454" w14:textId="09A3AC05" w:rsidR="00805D29" w:rsidRPr="00805D29" w:rsidRDefault="00805D29" w:rsidP="00805D29">
            <w:pPr>
              <w:ind w:left="4"/>
              <w:jc w:val="both"/>
              <w:rPr>
                <w:rFonts w:asciiTheme="minorHAnsi" w:hAnsiTheme="minorHAnsi" w:cstheme="minorHAnsi"/>
                <w:sz w:val="20"/>
                <w:szCs w:val="20"/>
                <w:lang w:val="es-CO"/>
              </w:rPr>
            </w:pPr>
            <w:r w:rsidRPr="00805D29">
              <w:rPr>
                <w:rFonts w:asciiTheme="minorHAnsi" w:hAnsiTheme="minorHAnsi" w:cstheme="minorHAnsi"/>
                <w:sz w:val="20"/>
                <w:szCs w:val="20"/>
                <w:lang w:val="es-CO"/>
              </w:rPr>
              <w:t xml:space="preserve">Teniendo en cuenta el reporte de la Entidad para el presente periodo informa que se ha declarado desierto nuevamente el proceso contractual con bolsa mercantil, el día 30 de marzo, se realizó mesa de trabajo con el MEN, equipo PAE, secretaria de </w:t>
            </w:r>
            <w:r w:rsidR="00D4458C" w:rsidRPr="00805D29">
              <w:rPr>
                <w:rFonts w:asciiTheme="minorHAnsi" w:hAnsiTheme="minorHAnsi" w:cstheme="minorHAnsi"/>
                <w:sz w:val="20"/>
                <w:szCs w:val="20"/>
                <w:lang w:val="es-CO"/>
              </w:rPr>
              <w:t>educación</w:t>
            </w:r>
            <w:r w:rsidRPr="00805D29">
              <w:rPr>
                <w:rFonts w:asciiTheme="minorHAnsi" w:hAnsiTheme="minorHAnsi" w:cstheme="minorHAnsi"/>
                <w:sz w:val="20"/>
                <w:szCs w:val="20"/>
                <w:lang w:val="es-CO"/>
              </w:rPr>
              <w:t>, entes de control, para determinar el proceso a implementar, para garantizar el inicio de operación.</w:t>
            </w:r>
          </w:p>
        </w:tc>
      </w:tr>
      <w:tr w:rsidR="00805D29" w:rsidRPr="004C7221" w14:paraId="636672A1" w14:textId="77777777" w:rsidTr="009C531E">
        <w:trPr>
          <w:trHeight w:val="707"/>
        </w:trPr>
        <w:tc>
          <w:tcPr>
            <w:tcW w:w="1141" w:type="dxa"/>
            <w:vMerge/>
            <w:noWrap/>
            <w:vAlign w:val="center"/>
            <w:hideMark/>
          </w:tcPr>
          <w:p w14:paraId="7D883A56" w14:textId="34E9520B" w:rsidR="00805D29" w:rsidRPr="004C7221" w:rsidRDefault="00805D29" w:rsidP="00805D29">
            <w:pPr>
              <w:ind w:left="-709" w:firstLine="709"/>
              <w:rPr>
                <w:rFonts w:asciiTheme="minorHAnsi" w:eastAsia="Times New Roman" w:hAnsiTheme="minorHAnsi" w:cstheme="minorHAnsi"/>
                <w:b/>
                <w:bCs/>
                <w:color w:val="000000"/>
                <w:sz w:val="20"/>
                <w:szCs w:val="20"/>
                <w:lang w:val="es-CO" w:eastAsia="es-CO"/>
              </w:rPr>
            </w:pPr>
          </w:p>
        </w:tc>
        <w:tc>
          <w:tcPr>
            <w:tcW w:w="1579" w:type="dxa"/>
            <w:noWrap/>
            <w:vAlign w:val="center"/>
          </w:tcPr>
          <w:p w14:paraId="6E32E15C" w14:textId="52222AF2" w:rsidR="00805D29" w:rsidRPr="00805D29" w:rsidRDefault="00805D29" w:rsidP="00805D29">
            <w:pPr>
              <w:ind w:left="-709" w:firstLine="709"/>
              <w:rPr>
                <w:rFonts w:asciiTheme="minorHAnsi" w:hAnsiTheme="minorHAnsi" w:cstheme="minorHAnsi"/>
                <w:b/>
                <w:bCs/>
                <w:sz w:val="20"/>
                <w:szCs w:val="20"/>
                <w:lang w:val="es-CO"/>
              </w:rPr>
            </w:pPr>
            <w:r w:rsidRPr="00805D29">
              <w:rPr>
                <w:rFonts w:asciiTheme="minorHAnsi" w:hAnsiTheme="minorHAnsi" w:cstheme="minorHAnsi"/>
                <w:b/>
                <w:bCs/>
                <w:sz w:val="20"/>
                <w:szCs w:val="20"/>
                <w:lang w:val="es-CO"/>
              </w:rPr>
              <w:t>IBAGU</w:t>
            </w:r>
            <w:r>
              <w:rPr>
                <w:rFonts w:asciiTheme="minorHAnsi" w:hAnsiTheme="minorHAnsi" w:cstheme="minorHAnsi"/>
                <w:b/>
                <w:bCs/>
                <w:sz w:val="20"/>
                <w:szCs w:val="20"/>
                <w:lang w:val="es-CO"/>
              </w:rPr>
              <w:t>É</w:t>
            </w:r>
          </w:p>
        </w:tc>
        <w:tc>
          <w:tcPr>
            <w:tcW w:w="7666" w:type="dxa"/>
            <w:vAlign w:val="center"/>
          </w:tcPr>
          <w:p w14:paraId="30FC8AD2" w14:textId="670405ED" w:rsidR="00805D29" w:rsidRPr="00805D29" w:rsidRDefault="00805D29" w:rsidP="00805D29">
            <w:pPr>
              <w:ind w:left="4"/>
              <w:jc w:val="both"/>
              <w:rPr>
                <w:rFonts w:asciiTheme="minorHAnsi" w:hAnsiTheme="minorHAnsi" w:cstheme="minorHAnsi"/>
                <w:sz w:val="20"/>
                <w:szCs w:val="20"/>
                <w:lang w:val="es-CO"/>
              </w:rPr>
            </w:pPr>
            <w:r w:rsidRPr="00805D29">
              <w:rPr>
                <w:rFonts w:asciiTheme="minorHAnsi" w:hAnsiTheme="minorHAnsi" w:cstheme="minorHAnsi"/>
                <w:sz w:val="20"/>
                <w:szCs w:val="20"/>
                <w:lang w:val="es-CO"/>
              </w:rPr>
              <w:t xml:space="preserve">Se presenta alerta de continuidad, el contrato actual  cubre la atención hasta el 08 de abril, la ETC se </w:t>
            </w:r>
            <w:r w:rsidR="00D4458C" w:rsidRPr="00805D29">
              <w:rPr>
                <w:rFonts w:asciiTheme="minorHAnsi" w:hAnsiTheme="minorHAnsi" w:cstheme="minorHAnsi"/>
                <w:sz w:val="20"/>
                <w:szCs w:val="20"/>
                <w:lang w:val="es-CO"/>
              </w:rPr>
              <w:t>evalúa</w:t>
            </w:r>
            <w:r w:rsidRPr="00805D29">
              <w:rPr>
                <w:rFonts w:asciiTheme="minorHAnsi" w:hAnsiTheme="minorHAnsi" w:cstheme="minorHAnsi"/>
                <w:sz w:val="20"/>
                <w:szCs w:val="20"/>
                <w:lang w:val="es-CO"/>
              </w:rPr>
              <w:t xml:space="preserve"> posible adición a contrato actual para </w:t>
            </w:r>
            <w:r w:rsidR="00D4458C" w:rsidRPr="00805D29">
              <w:rPr>
                <w:rFonts w:asciiTheme="minorHAnsi" w:hAnsiTheme="minorHAnsi" w:cstheme="minorHAnsi"/>
                <w:sz w:val="20"/>
                <w:szCs w:val="20"/>
                <w:lang w:val="es-CO"/>
              </w:rPr>
              <w:t>garantizar</w:t>
            </w:r>
            <w:r w:rsidRPr="00805D29">
              <w:rPr>
                <w:rFonts w:asciiTheme="minorHAnsi" w:hAnsiTheme="minorHAnsi" w:cstheme="minorHAnsi"/>
                <w:sz w:val="20"/>
                <w:szCs w:val="20"/>
                <w:lang w:val="es-CO"/>
              </w:rPr>
              <w:t xml:space="preserve"> atención desde el 18 de abril.  </w:t>
            </w:r>
            <w:r w:rsidRPr="00D4458C">
              <w:rPr>
                <w:rFonts w:asciiTheme="minorHAnsi" w:hAnsiTheme="minorHAnsi" w:cstheme="minorHAnsi"/>
                <w:sz w:val="20"/>
                <w:szCs w:val="20"/>
                <w:lang w:val="es-CO"/>
              </w:rPr>
              <w:t>A la pa</w:t>
            </w:r>
            <w:r w:rsidR="00D4458C" w:rsidRPr="00D4458C">
              <w:rPr>
                <w:rFonts w:asciiTheme="minorHAnsi" w:hAnsiTheme="minorHAnsi" w:cstheme="minorHAnsi"/>
                <w:sz w:val="20"/>
                <w:szCs w:val="20"/>
                <w:lang w:val="es-CO"/>
              </w:rPr>
              <w:t>r</w:t>
            </w:r>
            <w:r w:rsidRPr="00D4458C">
              <w:rPr>
                <w:rFonts w:asciiTheme="minorHAnsi" w:hAnsiTheme="minorHAnsi" w:cstheme="minorHAnsi"/>
                <w:sz w:val="20"/>
                <w:szCs w:val="20"/>
                <w:lang w:val="es-CO"/>
              </w:rPr>
              <w:t xml:space="preserve"> </w:t>
            </w:r>
            <w:r w:rsidRPr="00805D29">
              <w:rPr>
                <w:rFonts w:asciiTheme="minorHAnsi" w:hAnsiTheme="minorHAnsi" w:cstheme="minorHAnsi"/>
                <w:sz w:val="20"/>
                <w:szCs w:val="20"/>
                <w:lang w:val="es-CO"/>
              </w:rPr>
              <w:t xml:space="preserve">se </w:t>
            </w:r>
            <w:r w:rsidR="00D4458C" w:rsidRPr="00805D29">
              <w:rPr>
                <w:rFonts w:asciiTheme="minorHAnsi" w:hAnsiTheme="minorHAnsi" w:cstheme="minorHAnsi"/>
                <w:sz w:val="20"/>
                <w:szCs w:val="20"/>
                <w:lang w:val="es-CO"/>
              </w:rPr>
              <w:t>inició</w:t>
            </w:r>
            <w:r w:rsidRPr="00805D29">
              <w:rPr>
                <w:rFonts w:asciiTheme="minorHAnsi" w:hAnsiTheme="minorHAnsi" w:cstheme="minorHAnsi"/>
                <w:sz w:val="20"/>
                <w:szCs w:val="20"/>
                <w:lang w:val="es-CO"/>
              </w:rPr>
              <w:t xml:space="preserve"> proceso de contratación por Bolsa Mercantil a través de  la firma comisionista CORREAGRO S.A el 19 de abril de 2022 se realizará la selección de nuevo operador</w:t>
            </w:r>
          </w:p>
        </w:tc>
      </w:tr>
      <w:tr w:rsidR="00625E29" w:rsidRPr="004C7221" w14:paraId="2312F421" w14:textId="77777777" w:rsidTr="009C531E">
        <w:trPr>
          <w:trHeight w:val="70"/>
        </w:trPr>
        <w:tc>
          <w:tcPr>
            <w:tcW w:w="1141" w:type="dxa"/>
            <w:vMerge w:val="restart"/>
            <w:noWrap/>
            <w:vAlign w:val="center"/>
            <w:hideMark/>
          </w:tcPr>
          <w:p w14:paraId="624C85E3" w14:textId="7E202529" w:rsidR="00625E29" w:rsidRPr="004C7221" w:rsidRDefault="00625E29" w:rsidP="00625E29">
            <w:pPr>
              <w:ind w:left="-709" w:firstLine="709"/>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CARIBE</w:t>
            </w:r>
          </w:p>
          <w:p w14:paraId="3634E351" w14:textId="3317C5CC" w:rsidR="00625E29" w:rsidRPr="004C7221" w:rsidRDefault="00625E29" w:rsidP="00625E29">
            <w:pPr>
              <w:ind w:left="-709" w:firstLine="709"/>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w:t>
            </w:r>
            <w:r>
              <w:rPr>
                <w:rFonts w:asciiTheme="minorHAnsi" w:eastAsia="Times New Roman" w:hAnsiTheme="minorHAnsi" w:cstheme="minorHAnsi"/>
                <w:b/>
                <w:bCs/>
                <w:color w:val="000000"/>
                <w:sz w:val="20"/>
                <w:szCs w:val="20"/>
                <w:lang w:val="es-CO" w:eastAsia="es-CO"/>
              </w:rPr>
              <w:t>6</w:t>
            </w:r>
            <w:r w:rsidRPr="004C7221">
              <w:rPr>
                <w:rFonts w:asciiTheme="minorHAnsi" w:eastAsia="Times New Roman" w:hAnsiTheme="minorHAnsi" w:cstheme="minorHAnsi"/>
                <w:b/>
                <w:bCs/>
                <w:color w:val="000000"/>
                <w:sz w:val="20"/>
                <w:szCs w:val="20"/>
                <w:lang w:val="es-CO" w:eastAsia="es-CO"/>
              </w:rPr>
              <w:t xml:space="preserve"> ETC)</w:t>
            </w:r>
          </w:p>
        </w:tc>
        <w:tc>
          <w:tcPr>
            <w:tcW w:w="1579" w:type="dxa"/>
            <w:noWrap/>
            <w:vAlign w:val="center"/>
          </w:tcPr>
          <w:p w14:paraId="26017C95" w14:textId="5881B7AB" w:rsidR="00625E29" w:rsidRPr="00625E29" w:rsidRDefault="00625E29" w:rsidP="00625E29">
            <w:pPr>
              <w:ind w:left="-709" w:firstLine="709"/>
              <w:rPr>
                <w:rFonts w:asciiTheme="minorHAnsi" w:eastAsia="Times New Roman" w:hAnsiTheme="minorHAnsi" w:cstheme="minorHAnsi"/>
                <w:b/>
                <w:bCs/>
                <w:color w:val="000000"/>
                <w:sz w:val="20"/>
                <w:szCs w:val="20"/>
                <w:lang w:val="es-CO" w:eastAsia="es-CO"/>
              </w:rPr>
            </w:pPr>
            <w:r w:rsidRPr="00625E29">
              <w:rPr>
                <w:rFonts w:asciiTheme="minorHAnsi" w:eastAsia="Times New Roman" w:hAnsiTheme="minorHAnsi" w:cstheme="minorHAnsi"/>
                <w:b/>
                <w:bCs/>
                <w:color w:val="000000"/>
                <w:sz w:val="20"/>
                <w:szCs w:val="20"/>
                <w:lang w:val="es-CO" w:eastAsia="es-CO"/>
              </w:rPr>
              <w:t>SUCRE</w:t>
            </w:r>
          </w:p>
        </w:tc>
        <w:tc>
          <w:tcPr>
            <w:tcW w:w="7666" w:type="dxa"/>
            <w:vAlign w:val="center"/>
          </w:tcPr>
          <w:p w14:paraId="22153806" w14:textId="7BA7956C" w:rsidR="00625E29" w:rsidRPr="00625E29" w:rsidRDefault="00625E29" w:rsidP="00625E29">
            <w:pPr>
              <w:ind w:left="4"/>
              <w:jc w:val="both"/>
              <w:rPr>
                <w:rFonts w:asciiTheme="minorHAnsi" w:eastAsia="Times New Roman" w:hAnsiTheme="minorHAnsi" w:cstheme="minorHAnsi"/>
                <w:color w:val="000000"/>
                <w:sz w:val="20"/>
                <w:szCs w:val="20"/>
                <w:lang w:val="es-CO" w:eastAsia="es-CO"/>
              </w:rPr>
            </w:pPr>
            <w:r w:rsidRPr="00625E29">
              <w:rPr>
                <w:rFonts w:asciiTheme="minorHAnsi" w:eastAsia="Times New Roman" w:hAnsiTheme="minorHAnsi" w:cstheme="minorHAnsi"/>
                <w:color w:val="000000"/>
                <w:sz w:val="20"/>
                <w:szCs w:val="20"/>
                <w:lang w:val="es-CO" w:eastAsia="es-CO"/>
              </w:rPr>
              <w:t>Teniendo en cuenta el reporte de la Entidad para el presente periodo informa que adelanta proceso de licitación pública No. LP-SED-003-2022 el 23/02/2022, y de acuerdo con el cronograma establecido, se publicó pliego definitivo el 18 de marzo y se proyecta adjudicar el 27 de abril. Con este proceso se busca contratar el servicio de PAE para garantizar atención por 136 días de calendario académico</w:t>
            </w:r>
          </w:p>
        </w:tc>
      </w:tr>
      <w:tr w:rsidR="00625E29" w:rsidRPr="004C7221" w14:paraId="5AF0F780" w14:textId="77777777" w:rsidTr="009C531E">
        <w:trPr>
          <w:trHeight w:val="56"/>
        </w:trPr>
        <w:tc>
          <w:tcPr>
            <w:tcW w:w="1141" w:type="dxa"/>
            <w:vMerge/>
            <w:noWrap/>
            <w:vAlign w:val="center"/>
          </w:tcPr>
          <w:p w14:paraId="42BD79D8" w14:textId="77777777" w:rsidR="00625E29" w:rsidRPr="004C7221" w:rsidRDefault="00625E29" w:rsidP="00625E29">
            <w:pPr>
              <w:ind w:left="-709" w:firstLine="709"/>
              <w:rPr>
                <w:rFonts w:asciiTheme="minorHAnsi" w:eastAsia="Times New Roman" w:hAnsiTheme="minorHAnsi" w:cstheme="minorHAnsi"/>
                <w:b/>
                <w:bCs/>
                <w:color w:val="000000"/>
                <w:sz w:val="20"/>
                <w:szCs w:val="20"/>
                <w:lang w:eastAsia="es-CO"/>
              </w:rPr>
            </w:pPr>
          </w:p>
        </w:tc>
        <w:tc>
          <w:tcPr>
            <w:tcW w:w="1579" w:type="dxa"/>
            <w:noWrap/>
            <w:vAlign w:val="center"/>
          </w:tcPr>
          <w:p w14:paraId="79F83D57" w14:textId="40C2F2FD" w:rsidR="00625E29" w:rsidRPr="00625E29" w:rsidRDefault="00625E29" w:rsidP="00625E29">
            <w:pPr>
              <w:ind w:left="-709" w:firstLine="709"/>
              <w:rPr>
                <w:rFonts w:asciiTheme="minorHAnsi" w:eastAsia="Times New Roman" w:hAnsiTheme="minorHAnsi" w:cstheme="minorHAnsi"/>
                <w:b/>
                <w:bCs/>
                <w:color w:val="000000"/>
                <w:sz w:val="20"/>
                <w:szCs w:val="20"/>
                <w:lang w:val="es-CO" w:eastAsia="es-CO"/>
              </w:rPr>
            </w:pPr>
            <w:r w:rsidRPr="00625E29">
              <w:rPr>
                <w:rFonts w:asciiTheme="minorHAnsi" w:eastAsia="Times New Roman" w:hAnsiTheme="minorHAnsi" w:cstheme="minorHAnsi"/>
                <w:b/>
                <w:bCs/>
                <w:color w:val="000000"/>
                <w:sz w:val="20"/>
                <w:szCs w:val="20"/>
                <w:lang w:val="es-CO" w:eastAsia="es-CO"/>
              </w:rPr>
              <w:t>SINCELEJO</w:t>
            </w:r>
          </w:p>
        </w:tc>
        <w:tc>
          <w:tcPr>
            <w:tcW w:w="7666" w:type="dxa"/>
            <w:vAlign w:val="center"/>
          </w:tcPr>
          <w:p w14:paraId="435625B2" w14:textId="5921121A" w:rsidR="00625E29" w:rsidRPr="00625E29" w:rsidRDefault="00625E29" w:rsidP="00625E29">
            <w:pPr>
              <w:ind w:left="4"/>
              <w:jc w:val="both"/>
              <w:rPr>
                <w:rFonts w:asciiTheme="minorHAnsi" w:eastAsia="Times New Roman" w:hAnsiTheme="minorHAnsi" w:cstheme="minorHAnsi"/>
                <w:color w:val="000000"/>
                <w:sz w:val="20"/>
                <w:szCs w:val="20"/>
                <w:lang w:val="es-CO" w:eastAsia="es-CO"/>
              </w:rPr>
            </w:pPr>
            <w:r w:rsidRPr="00625E29">
              <w:rPr>
                <w:rFonts w:asciiTheme="minorHAnsi" w:eastAsia="Times New Roman" w:hAnsiTheme="minorHAnsi" w:cstheme="minorHAnsi"/>
                <w:color w:val="000000"/>
                <w:sz w:val="20"/>
                <w:szCs w:val="20"/>
                <w:lang w:val="es-CO" w:eastAsia="es-CO"/>
              </w:rPr>
              <w:t xml:space="preserve">Teniendo en cuenta el reporte de la Entidad para el presente periodo informa que adelanta  proceso de selección abreviada No. SA-013-2022 el 23/03/2022  y de acuerdo con el cronograma establecido, se publica pliego definitivo el 04 de abril y se proyecta adjudicar el 03 de mayo. Con este proceso se busca contratar el servicio de PAE para garantizar atención </w:t>
            </w:r>
            <w:r w:rsidRPr="00625E29">
              <w:rPr>
                <w:rFonts w:asciiTheme="minorHAnsi" w:eastAsia="Times New Roman" w:hAnsiTheme="minorHAnsi" w:cstheme="minorHAnsi"/>
                <w:color w:val="000000"/>
                <w:sz w:val="20"/>
                <w:szCs w:val="20"/>
                <w:lang w:val="es-CO" w:eastAsia="es-CO"/>
              </w:rPr>
              <w:lastRenderedPageBreak/>
              <w:t>por 62 días de calendario académico</w:t>
            </w:r>
          </w:p>
        </w:tc>
      </w:tr>
      <w:tr w:rsidR="00625E29" w:rsidRPr="004C7221" w14:paraId="05C1F409" w14:textId="77777777" w:rsidTr="009C531E">
        <w:trPr>
          <w:trHeight w:val="56"/>
        </w:trPr>
        <w:tc>
          <w:tcPr>
            <w:tcW w:w="1141" w:type="dxa"/>
            <w:vMerge/>
            <w:noWrap/>
            <w:vAlign w:val="center"/>
            <w:hideMark/>
          </w:tcPr>
          <w:p w14:paraId="292C6770" w14:textId="2B8048B5" w:rsidR="00625E29" w:rsidRPr="004C7221" w:rsidRDefault="00625E29" w:rsidP="00625E29">
            <w:pPr>
              <w:ind w:left="-709" w:firstLine="709"/>
              <w:rPr>
                <w:rFonts w:asciiTheme="minorHAnsi" w:eastAsia="Times New Roman" w:hAnsiTheme="minorHAnsi" w:cstheme="minorHAnsi"/>
                <w:b/>
                <w:bCs/>
                <w:color w:val="000000"/>
                <w:sz w:val="20"/>
                <w:szCs w:val="20"/>
                <w:lang w:val="es-CO" w:eastAsia="es-CO"/>
              </w:rPr>
            </w:pPr>
          </w:p>
        </w:tc>
        <w:tc>
          <w:tcPr>
            <w:tcW w:w="1579" w:type="dxa"/>
            <w:noWrap/>
            <w:vAlign w:val="center"/>
          </w:tcPr>
          <w:p w14:paraId="2788F82C" w14:textId="41FE8DB7" w:rsidR="00625E29" w:rsidRPr="00625E29" w:rsidRDefault="00625E29" w:rsidP="00625E29">
            <w:pPr>
              <w:ind w:left="-709" w:firstLine="709"/>
              <w:rPr>
                <w:rFonts w:asciiTheme="minorHAnsi" w:eastAsia="Times New Roman" w:hAnsiTheme="minorHAnsi" w:cstheme="minorHAnsi"/>
                <w:b/>
                <w:bCs/>
                <w:color w:val="000000"/>
                <w:sz w:val="20"/>
                <w:szCs w:val="20"/>
                <w:lang w:val="es-CO" w:eastAsia="es-CO"/>
              </w:rPr>
            </w:pPr>
            <w:r w:rsidRPr="00625E29">
              <w:rPr>
                <w:rFonts w:asciiTheme="minorHAnsi" w:eastAsia="Times New Roman" w:hAnsiTheme="minorHAnsi" w:cstheme="minorHAnsi"/>
                <w:b/>
                <w:bCs/>
                <w:color w:val="000000"/>
                <w:sz w:val="20"/>
                <w:szCs w:val="20"/>
                <w:lang w:val="es-CO" w:eastAsia="es-CO"/>
              </w:rPr>
              <w:t>CARTAGENA</w:t>
            </w:r>
          </w:p>
        </w:tc>
        <w:tc>
          <w:tcPr>
            <w:tcW w:w="7666" w:type="dxa"/>
            <w:vAlign w:val="center"/>
          </w:tcPr>
          <w:p w14:paraId="4CA58A92" w14:textId="653ACCFE" w:rsidR="00625E29" w:rsidRPr="00625E29" w:rsidRDefault="00625E29" w:rsidP="00625E29">
            <w:pPr>
              <w:ind w:left="4"/>
              <w:jc w:val="both"/>
              <w:rPr>
                <w:rFonts w:asciiTheme="minorHAnsi" w:eastAsia="Times New Roman" w:hAnsiTheme="minorHAnsi" w:cstheme="minorHAnsi"/>
                <w:color w:val="000000"/>
                <w:sz w:val="20"/>
                <w:szCs w:val="20"/>
                <w:lang w:val="es-CO" w:eastAsia="es-CO"/>
              </w:rPr>
            </w:pPr>
            <w:r w:rsidRPr="00625E29">
              <w:rPr>
                <w:rFonts w:asciiTheme="minorHAnsi" w:eastAsia="Times New Roman" w:hAnsiTheme="minorHAnsi" w:cstheme="minorHAnsi"/>
                <w:color w:val="000000"/>
                <w:sz w:val="20"/>
                <w:szCs w:val="20"/>
                <w:lang w:val="es-CO" w:eastAsia="es-CO"/>
              </w:rPr>
              <w:t xml:space="preserve">Teniendo en cuenta el reporte de la Entidad para el presente periodo, se reporta afectación de la atención desde el  16 de marzo, considerando que los operadores reportaron dificultades para la </w:t>
            </w:r>
            <w:r w:rsidR="00EA26E1" w:rsidRPr="00625E29">
              <w:rPr>
                <w:rFonts w:asciiTheme="minorHAnsi" w:eastAsia="Times New Roman" w:hAnsiTheme="minorHAnsi" w:cstheme="minorHAnsi"/>
                <w:color w:val="000000"/>
                <w:sz w:val="20"/>
                <w:szCs w:val="20"/>
                <w:lang w:val="es-CO" w:eastAsia="es-CO"/>
              </w:rPr>
              <w:t>adquisición</w:t>
            </w:r>
            <w:r w:rsidRPr="00625E29">
              <w:rPr>
                <w:rFonts w:asciiTheme="minorHAnsi" w:eastAsia="Times New Roman" w:hAnsiTheme="minorHAnsi" w:cstheme="minorHAnsi"/>
                <w:color w:val="000000"/>
                <w:sz w:val="20"/>
                <w:szCs w:val="20"/>
                <w:lang w:val="es-CO" w:eastAsia="es-CO"/>
              </w:rPr>
              <w:t xml:space="preserve"> de producto </w:t>
            </w:r>
            <w:r w:rsidR="00EA26E1" w:rsidRPr="00625E29">
              <w:rPr>
                <w:rFonts w:asciiTheme="minorHAnsi" w:eastAsia="Times New Roman" w:hAnsiTheme="minorHAnsi" w:cstheme="minorHAnsi"/>
                <w:color w:val="000000"/>
                <w:sz w:val="20"/>
                <w:szCs w:val="20"/>
                <w:lang w:val="es-CO" w:eastAsia="es-CO"/>
              </w:rPr>
              <w:t>lácteo</w:t>
            </w:r>
            <w:r w:rsidRPr="00625E29">
              <w:rPr>
                <w:rFonts w:asciiTheme="minorHAnsi" w:eastAsia="Times New Roman" w:hAnsiTheme="minorHAnsi" w:cstheme="minorHAnsi"/>
                <w:color w:val="000000"/>
                <w:sz w:val="20"/>
                <w:szCs w:val="20"/>
                <w:lang w:val="es-CO" w:eastAsia="es-CO"/>
              </w:rPr>
              <w:t xml:space="preserve"> y pago a terceros por parte del operador (arrendamiento de bodega y personal manipulador) </w:t>
            </w:r>
          </w:p>
        </w:tc>
      </w:tr>
      <w:tr w:rsidR="00625E29" w:rsidRPr="004C7221" w14:paraId="7841DE26" w14:textId="77777777" w:rsidTr="009C531E">
        <w:trPr>
          <w:trHeight w:val="146"/>
        </w:trPr>
        <w:tc>
          <w:tcPr>
            <w:tcW w:w="1141" w:type="dxa"/>
            <w:vMerge/>
            <w:noWrap/>
            <w:vAlign w:val="center"/>
            <w:hideMark/>
          </w:tcPr>
          <w:p w14:paraId="7CBBAD72" w14:textId="6FA6F449" w:rsidR="00625E29" w:rsidRPr="004C7221" w:rsidRDefault="00625E29" w:rsidP="00625E29">
            <w:pPr>
              <w:ind w:left="-709" w:firstLine="709"/>
              <w:rPr>
                <w:rFonts w:asciiTheme="minorHAnsi" w:eastAsia="Times New Roman" w:hAnsiTheme="minorHAnsi" w:cstheme="minorHAnsi"/>
                <w:b/>
                <w:bCs/>
                <w:color w:val="000000"/>
                <w:sz w:val="20"/>
                <w:szCs w:val="20"/>
                <w:lang w:val="es-CO" w:eastAsia="es-CO"/>
              </w:rPr>
            </w:pPr>
          </w:p>
        </w:tc>
        <w:tc>
          <w:tcPr>
            <w:tcW w:w="1579" w:type="dxa"/>
            <w:noWrap/>
            <w:vAlign w:val="center"/>
          </w:tcPr>
          <w:p w14:paraId="46F9E6C0" w14:textId="6880E627" w:rsidR="00625E29" w:rsidRPr="00625E29" w:rsidRDefault="00625E29" w:rsidP="00625E29">
            <w:pPr>
              <w:ind w:left="-709" w:firstLine="709"/>
              <w:rPr>
                <w:rFonts w:asciiTheme="minorHAnsi" w:eastAsia="Times New Roman" w:hAnsiTheme="minorHAnsi" w:cstheme="minorHAnsi"/>
                <w:b/>
                <w:bCs/>
                <w:color w:val="000000"/>
                <w:sz w:val="20"/>
                <w:szCs w:val="20"/>
                <w:lang w:val="es-CO" w:eastAsia="es-CO"/>
              </w:rPr>
            </w:pPr>
            <w:r w:rsidRPr="00625E29">
              <w:rPr>
                <w:rFonts w:asciiTheme="minorHAnsi" w:eastAsia="Times New Roman" w:hAnsiTheme="minorHAnsi" w:cstheme="minorHAnsi"/>
                <w:b/>
                <w:bCs/>
                <w:color w:val="000000"/>
                <w:sz w:val="20"/>
                <w:szCs w:val="20"/>
                <w:lang w:val="es-CO" w:eastAsia="es-CO"/>
              </w:rPr>
              <w:t>MAGDALENA</w:t>
            </w:r>
          </w:p>
        </w:tc>
        <w:tc>
          <w:tcPr>
            <w:tcW w:w="7666" w:type="dxa"/>
            <w:vAlign w:val="center"/>
          </w:tcPr>
          <w:p w14:paraId="7C1622CC" w14:textId="39FA5B96" w:rsidR="00625E29" w:rsidRPr="00625E29" w:rsidRDefault="00625E29" w:rsidP="00625E29">
            <w:pPr>
              <w:ind w:left="4"/>
              <w:jc w:val="both"/>
              <w:rPr>
                <w:rFonts w:asciiTheme="minorHAnsi" w:eastAsia="Times New Roman" w:hAnsiTheme="minorHAnsi" w:cstheme="minorHAnsi"/>
                <w:color w:val="000000"/>
                <w:sz w:val="20"/>
                <w:szCs w:val="20"/>
                <w:lang w:val="es-CO" w:eastAsia="es-CO"/>
              </w:rPr>
            </w:pPr>
            <w:r w:rsidRPr="00625E29">
              <w:rPr>
                <w:rFonts w:asciiTheme="minorHAnsi" w:eastAsia="Times New Roman" w:hAnsiTheme="minorHAnsi" w:cstheme="minorHAnsi"/>
                <w:color w:val="000000"/>
                <w:sz w:val="20"/>
                <w:szCs w:val="20"/>
                <w:lang w:val="es-CO" w:eastAsia="es-CO"/>
              </w:rPr>
              <w:t>Teniendo en cuenta el reporte de la Entidad para el presente periodo informa que el proceso de Licitación Publica No. LP-001-2022 se declaró desierto, sin embargo, el día 29 de marzo publicaron en el S</w:t>
            </w:r>
            <w:r w:rsidR="00407184">
              <w:rPr>
                <w:rFonts w:asciiTheme="minorHAnsi" w:eastAsia="Times New Roman" w:hAnsiTheme="minorHAnsi" w:cstheme="minorHAnsi"/>
                <w:color w:val="000000"/>
                <w:sz w:val="20"/>
                <w:szCs w:val="20"/>
                <w:lang w:val="es-CO" w:eastAsia="es-CO"/>
              </w:rPr>
              <w:t>ECOP</w:t>
            </w:r>
            <w:r w:rsidRPr="00625E29">
              <w:rPr>
                <w:rFonts w:asciiTheme="minorHAnsi" w:eastAsia="Times New Roman" w:hAnsiTheme="minorHAnsi" w:cstheme="minorHAnsi"/>
                <w:color w:val="000000"/>
                <w:sz w:val="20"/>
                <w:szCs w:val="20"/>
                <w:lang w:val="es-CO" w:eastAsia="es-CO"/>
              </w:rPr>
              <w:t xml:space="preserve"> proceso bajo la modalidad de Selección Abreviada No SA OO5-2022 y de acuerdo con el cronograma establecido por la Entidad se tiene previsto la adjudicación para el 06 de mayo de 2022. Frente a la atención para población Indígena se realiza a través de dos contratos para los pueblos Chimila y Arahuacos desde el mes de febrero del presente año.</w:t>
            </w:r>
          </w:p>
        </w:tc>
      </w:tr>
      <w:tr w:rsidR="00625E29" w:rsidRPr="004C7221" w14:paraId="165A7592" w14:textId="77777777" w:rsidTr="009C531E">
        <w:trPr>
          <w:trHeight w:val="73"/>
        </w:trPr>
        <w:tc>
          <w:tcPr>
            <w:tcW w:w="1141" w:type="dxa"/>
            <w:vMerge/>
            <w:noWrap/>
            <w:vAlign w:val="center"/>
            <w:hideMark/>
          </w:tcPr>
          <w:p w14:paraId="11F44354" w14:textId="46C265C0" w:rsidR="00625E29" w:rsidRPr="004C7221" w:rsidRDefault="00625E29" w:rsidP="00625E29">
            <w:pPr>
              <w:ind w:left="-709" w:firstLine="709"/>
              <w:rPr>
                <w:rFonts w:asciiTheme="minorHAnsi" w:eastAsia="Times New Roman" w:hAnsiTheme="minorHAnsi" w:cstheme="minorHAnsi"/>
                <w:b/>
                <w:bCs/>
                <w:color w:val="000000"/>
                <w:sz w:val="20"/>
                <w:szCs w:val="20"/>
                <w:lang w:val="es-CO" w:eastAsia="es-CO"/>
              </w:rPr>
            </w:pPr>
          </w:p>
        </w:tc>
        <w:tc>
          <w:tcPr>
            <w:tcW w:w="1579" w:type="dxa"/>
            <w:noWrap/>
            <w:vAlign w:val="center"/>
          </w:tcPr>
          <w:p w14:paraId="62C7BA2A" w14:textId="04D91F2F" w:rsidR="00625E29" w:rsidRPr="00625E29" w:rsidRDefault="00625E29" w:rsidP="00625E29">
            <w:pPr>
              <w:ind w:left="-709" w:firstLine="709"/>
              <w:rPr>
                <w:rFonts w:asciiTheme="minorHAnsi" w:eastAsia="Times New Roman" w:hAnsiTheme="minorHAnsi" w:cstheme="minorHAnsi"/>
                <w:b/>
                <w:bCs/>
                <w:color w:val="000000"/>
                <w:sz w:val="20"/>
                <w:szCs w:val="20"/>
                <w:lang w:val="es-CO" w:eastAsia="es-CO"/>
              </w:rPr>
            </w:pPr>
            <w:r w:rsidRPr="00625E29">
              <w:rPr>
                <w:rFonts w:asciiTheme="minorHAnsi" w:eastAsia="Times New Roman" w:hAnsiTheme="minorHAnsi" w:cstheme="minorHAnsi"/>
                <w:b/>
                <w:bCs/>
                <w:color w:val="000000"/>
                <w:sz w:val="20"/>
                <w:szCs w:val="20"/>
                <w:lang w:val="es-CO" w:eastAsia="es-CO"/>
              </w:rPr>
              <w:t>MALAMBO</w:t>
            </w:r>
          </w:p>
        </w:tc>
        <w:tc>
          <w:tcPr>
            <w:tcW w:w="7666" w:type="dxa"/>
            <w:vAlign w:val="center"/>
          </w:tcPr>
          <w:p w14:paraId="233DD67E" w14:textId="19CA5C50" w:rsidR="00625E29" w:rsidRPr="00625E29" w:rsidRDefault="00625E29" w:rsidP="00625E29">
            <w:pPr>
              <w:ind w:left="4"/>
              <w:jc w:val="both"/>
              <w:rPr>
                <w:rFonts w:asciiTheme="minorHAnsi" w:eastAsia="Times New Roman" w:hAnsiTheme="minorHAnsi" w:cstheme="minorHAnsi"/>
                <w:color w:val="000000"/>
                <w:sz w:val="20"/>
                <w:szCs w:val="20"/>
                <w:lang w:val="es-CO" w:eastAsia="es-CO"/>
              </w:rPr>
            </w:pPr>
            <w:r w:rsidRPr="00625E29">
              <w:rPr>
                <w:rFonts w:asciiTheme="minorHAnsi" w:eastAsia="Times New Roman" w:hAnsiTheme="minorHAnsi" w:cstheme="minorHAnsi"/>
                <w:color w:val="000000"/>
                <w:sz w:val="20"/>
                <w:szCs w:val="20"/>
                <w:lang w:val="es-CO" w:eastAsia="es-CO"/>
              </w:rPr>
              <w:t>Teniendo en cuenta el reporte de la Entidad para el presente periodo informa que con el contrato de la vigencia anterior se garantiza la atención a la totalidad de los beneficiarios hasta el 26 de abril de 2022 con modificatorio. Para garantizar continuidad la entidad adelantó proceso de licitación pública No. LP-015-2021-MM el cual fue declarado desierto mediante resolución 156 publicada en SECOP I el día 2 de febrero de 2022, posterior se adelantó proceso de Selección Abreviada No SA-002-2022-MM el cual fue declarado desierto mediante resolución 403 publicada en SECOP I el día 17 de marzo de 2022. Pendiente reconocer acciones que garanticen continuidad de la operación durante el resto del calendario académico.</w:t>
            </w:r>
          </w:p>
        </w:tc>
      </w:tr>
      <w:tr w:rsidR="00625E29" w:rsidRPr="004C7221" w14:paraId="61D23562" w14:textId="77777777" w:rsidTr="009C531E">
        <w:trPr>
          <w:trHeight w:val="180"/>
        </w:trPr>
        <w:tc>
          <w:tcPr>
            <w:tcW w:w="1141" w:type="dxa"/>
            <w:vMerge/>
            <w:noWrap/>
            <w:vAlign w:val="center"/>
          </w:tcPr>
          <w:p w14:paraId="581E4953" w14:textId="77777777" w:rsidR="00625E29" w:rsidRPr="004C7221" w:rsidRDefault="00625E29" w:rsidP="00625E29">
            <w:pPr>
              <w:ind w:left="-709" w:firstLine="709"/>
              <w:rPr>
                <w:rFonts w:asciiTheme="minorHAnsi" w:eastAsia="Times New Roman" w:hAnsiTheme="minorHAnsi" w:cstheme="minorHAnsi"/>
                <w:b/>
                <w:bCs/>
                <w:color w:val="000000"/>
                <w:sz w:val="20"/>
                <w:szCs w:val="20"/>
                <w:lang w:val="es-CO" w:eastAsia="es-CO"/>
              </w:rPr>
            </w:pPr>
          </w:p>
        </w:tc>
        <w:tc>
          <w:tcPr>
            <w:tcW w:w="1579" w:type="dxa"/>
            <w:noWrap/>
            <w:vAlign w:val="center"/>
          </w:tcPr>
          <w:p w14:paraId="1CEFD25E" w14:textId="68C257E3" w:rsidR="00625E29" w:rsidRPr="00625E29" w:rsidRDefault="00625E29" w:rsidP="00625E29">
            <w:pPr>
              <w:ind w:left="-709" w:firstLine="709"/>
              <w:rPr>
                <w:rFonts w:asciiTheme="minorHAnsi" w:eastAsia="Times New Roman" w:hAnsiTheme="minorHAnsi" w:cstheme="minorHAnsi"/>
                <w:b/>
                <w:bCs/>
                <w:color w:val="000000"/>
                <w:sz w:val="20"/>
                <w:szCs w:val="20"/>
                <w:lang w:val="es-CO" w:eastAsia="es-CO"/>
              </w:rPr>
            </w:pPr>
            <w:r w:rsidRPr="00625E29">
              <w:rPr>
                <w:rFonts w:asciiTheme="minorHAnsi" w:eastAsia="Times New Roman" w:hAnsiTheme="minorHAnsi" w:cstheme="minorHAnsi"/>
                <w:b/>
                <w:bCs/>
                <w:color w:val="000000"/>
                <w:sz w:val="20"/>
                <w:szCs w:val="20"/>
                <w:lang w:val="es-CO" w:eastAsia="es-CO"/>
              </w:rPr>
              <w:t>SOLEDAD</w:t>
            </w:r>
          </w:p>
        </w:tc>
        <w:tc>
          <w:tcPr>
            <w:tcW w:w="7666" w:type="dxa"/>
            <w:vAlign w:val="center"/>
          </w:tcPr>
          <w:p w14:paraId="37661220" w14:textId="1673F087" w:rsidR="00625E29" w:rsidRPr="00625E29" w:rsidRDefault="00625E29" w:rsidP="00625E29">
            <w:pPr>
              <w:ind w:left="4"/>
              <w:jc w:val="both"/>
              <w:rPr>
                <w:rFonts w:asciiTheme="minorHAnsi" w:eastAsia="Times New Roman" w:hAnsiTheme="minorHAnsi" w:cstheme="minorHAnsi"/>
                <w:color w:val="000000"/>
                <w:sz w:val="20"/>
                <w:szCs w:val="20"/>
                <w:lang w:val="es-CO" w:eastAsia="es-CO"/>
              </w:rPr>
            </w:pPr>
            <w:r w:rsidRPr="00625E29">
              <w:rPr>
                <w:rFonts w:asciiTheme="minorHAnsi" w:eastAsia="Times New Roman" w:hAnsiTheme="minorHAnsi" w:cstheme="minorHAnsi"/>
                <w:color w:val="000000"/>
                <w:sz w:val="20"/>
                <w:szCs w:val="20"/>
                <w:lang w:val="es-CO" w:eastAsia="es-CO"/>
              </w:rPr>
              <w:t>Teniendo en cuenta el reporte de la Entidad para el presente periodo informa que con el contrato de la vigencia anterior se garantiza la atención a la totalidad de los beneficiarios hasta el 30 de abril de 2022 con modificatorio. Pendiente reconocer acciones que garanticen continuidad de la operación durante el resto del calendario académico.</w:t>
            </w:r>
          </w:p>
        </w:tc>
      </w:tr>
      <w:tr w:rsidR="00D92414" w:rsidRPr="004C7221" w14:paraId="2C4C7BBE" w14:textId="77777777" w:rsidTr="009C531E">
        <w:trPr>
          <w:trHeight w:val="70"/>
        </w:trPr>
        <w:tc>
          <w:tcPr>
            <w:tcW w:w="1141" w:type="dxa"/>
            <w:noWrap/>
            <w:vAlign w:val="center"/>
            <w:hideMark/>
          </w:tcPr>
          <w:p w14:paraId="0CE449FF" w14:textId="77777777" w:rsidR="00D92414" w:rsidRPr="004C7221" w:rsidRDefault="00D92414" w:rsidP="00D92414">
            <w:pPr>
              <w:ind w:left="-709" w:firstLine="709"/>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PACÍFICO</w:t>
            </w:r>
          </w:p>
          <w:p w14:paraId="117D164E" w14:textId="44DA62BD" w:rsidR="00D92414" w:rsidRPr="004C7221" w:rsidRDefault="00D92414" w:rsidP="00D92414">
            <w:pPr>
              <w:ind w:left="-709" w:firstLine="709"/>
              <w:rPr>
                <w:rFonts w:asciiTheme="minorHAnsi" w:eastAsia="Times New Roman" w:hAnsiTheme="minorHAnsi" w:cstheme="minorHAnsi"/>
                <w:b/>
                <w:bCs/>
                <w:color w:val="000000"/>
                <w:sz w:val="20"/>
                <w:szCs w:val="20"/>
                <w:lang w:val="es-CO" w:eastAsia="es-CO"/>
              </w:rPr>
            </w:pPr>
            <w:r w:rsidRPr="004C7221">
              <w:rPr>
                <w:rFonts w:asciiTheme="minorHAnsi" w:eastAsia="Times New Roman" w:hAnsiTheme="minorHAnsi" w:cstheme="minorHAnsi"/>
                <w:b/>
                <w:bCs/>
                <w:color w:val="000000"/>
                <w:sz w:val="20"/>
                <w:szCs w:val="20"/>
                <w:lang w:val="es-CO" w:eastAsia="es-CO"/>
              </w:rPr>
              <w:t>(</w:t>
            </w:r>
            <w:r w:rsidR="00E00D44">
              <w:rPr>
                <w:rFonts w:asciiTheme="minorHAnsi" w:eastAsia="Times New Roman" w:hAnsiTheme="minorHAnsi" w:cstheme="minorHAnsi"/>
                <w:b/>
                <w:bCs/>
                <w:color w:val="000000"/>
                <w:sz w:val="20"/>
                <w:szCs w:val="20"/>
                <w:lang w:val="es-CO" w:eastAsia="es-CO"/>
              </w:rPr>
              <w:t>1</w:t>
            </w:r>
            <w:r w:rsidRPr="004C7221">
              <w:rPr>
                <w:rFonts w:asciiTheme="minorHAnsi" w:eastAsia="Times New Roman" w:hAnsiTheme="minorHAnsi" w:cstheme="minorHAnsi"/>
                <w:b/>
                <w:bCs/>
                <w:color w:val="000000"/>
                <w:sz w:val="20"/>
                <w:szCs w:val="20"/>
                <w:lang w:val="es-CO" w:eastAsia="es-CO"/>
              </w:rPr>
              <w:t xml:space="preserve"> ETC)</w:t>
            </w:r>
          </w:p>
          <w:p w14:paraId="23278102" w14:textId="6C7ABAAE" w:rsidR="00D92414" w:rsidRPr="004C7221" w:rsidRDefault="00D92414" w:rsidP="00D92414">
            <w:pPr>
              <w:ind w:left="-709" w:firstLine="709"/>
              <w:rPr>
                <w:rFonts w:asciiTheme="minorHAnsi" w:eastAsia="Times New Roman" w:hAnsiTheme="minorHAnsi" w:cstheme="minorHAnsi"/>
                <w:b/>
                <w:bCs/>
                <w:color w:val="000000"/>
                <w:sz w:val="20"/>
                <w:szCs w:val="20"/>
                <w:lang w:val="es-CO" w:eastAsia="es-CO"/>
              </w:rPr>
            </w:pPr>
          </w:p>
        </w:tc>
        <w:tc>
          <w:tcPr>
            <w:tcW w:w="1579" w:type="dxa"/>
            <w:noWrap/>
            <w:vAlign w:val="center"/>
          </w:tcPr>
          <w:p w14:paraId="3D8CECF0" w14:textId="3D76267B" w:rsidR="00D92414" w:rsidRPr="00D92414" w:rsidRDefault="00D92414" w:rsidP="00D92414">
            <w:pPr>
              <w:ind w:left="-709" w:firstLine="709"/>
              <w:rPr>
                <w:rFonts w:asciiTheme="minorHAnsi" w:eastAsia="Times New Roman" w:hAnsiTheme="minorHAnsi" w:cstheme="minorHAnsi"/>
                <w:b/>
                <w:bCs/>
                <w:color w:val="000000"/>
                <w:sz w:val="20"/>
                <w:szCs w:val="20"/>
                <w:lang w:val="es-CO" w:eastAsia="es-CO"/>
              </w:rPr>
            </w:pPr>
            <w:r w:rsidRPr="00D92414">
              <w:rPr>
                <w:rFonts w:asciiTheme="minorHAnsi" w:eastAsia="Times New Roman" w:hAnsiTheme="minorHAnsi" w:cstheme="minorHAnsi"/>
                <w:b/>
                <w:bCs/>
                <w:color w:val="000000"/>
                <w:sz w:val="20"/>
                <w:szCs w:val="20"/>
                <w:lang w:val="es-CO" w:eastAsia="es-CO"/>
              </w:rPr>
              <w:t>BUENAVENTURA</w:t>
            </w:r>
          </w:p>
        </w:tc>
        <w:tc>
          <w:tcPr>
            <w:tcW w:w="7666" w:type="dxa"/>
            <w:vAlign w:val="center"/>
          </w:tcPr>
          <w:p w14:paraId="626A8A67" w14:textId="78AF0B5B" w:rsidR="00D92414" w:rsidRPr="00D92414" w:rsidRDefault="00D92414" w:rsidP="00D92414">
            <w:pPr>
              <w:ind w:left="4"/>
              <w:jc w:val="both"/>
              <w:rPr>
                <w:rFonts w:asciiTheme="minorHAnsi" w:eastAsia="Times New Roman" w:hAnsiTheme="minorHAnsi" w:cstheme="minorHAnsi"/>
                <w:color w:val="000000"/>
                <w:sz w:val="20"/>
                <w:szCs w:val="20"/>
                <w:lang w:val="es-CO" w:eastAsia="es-CO"/>
              </w:rPr>
            </w:pPr>
            <w:r w:rsidRPr="00D92414">
              <w:rPr>
                <w:rFonts w:asciiTheme="minorHAnsi" w:eastAsia="Times New Roman" w:hAnsiTheme="minorHAnsi" w:cstheme="minorHAnsi"/>
                <w:color w:val="000000"/>
                <w:sz w:val="20"/>
                <w:szCs w:val="20"/>
                <w:lang w:val="es-CO" w:eastAsia="es-CO"/>
              </w:rPr>
              <w:t>Teniendo en cuenta el reporte de la Entidad el día 30 de marzo se adjudicó la operación en la Bolsa Mercantil al Consorcio Nutrición Con Amor, y actualmente se encuentra en etapa de legalización y preoperativa.</w:t>
            </w:r>
          </w:p>
        </w:tc>
      </w:tr>
    </w:tbl>
    <w:p w14:paraId="59685E59" w14:textId="77777777" w:rsidR="00121BBF" w:rsidRDefault="00121BBF" w:rsidP="007A785D">
      <w:pPr>
        <w:ind w:left="-709"/>
        <w:jc w:val="both"/>
        <w:rPr>
          <w:b/>
          <w:bCs/>
          <w:color w:val="1F3864" w:themeColor="accent5" w:themeShade="80"/>
        </w:rPr>
      </w:pPr>
    </w:p>
    <w:p w14:paraId="2D8249EB" w14:textId="5EC10422" w:rsidR="00CD7E5F" w:rsidRPr="00CD7E5F" w:rsidRDefault="00EE7BF8" w:rsidP="00CD7E5F">
      <w:pPr>
        <w:pStyle w:val="Prrafodelista"/>
        <w:numPr>
          <w:ilvl w:val="0"/>
          <w:numId w:val="6"/>
        </w:numPr>
        <w:ind w:left="-284" w:hanging="425"/>
        <w:jc w:val="both"/>
      </w:pPr>
      <w:r w:rsidRPr="00CD7E5F">
        <w:rPr>
          <w:b/>
          <w:bCs/>
          <w:color w:val="1F3864" w:themeColor="accent5" w:themeShade="80"/>
        </w:rPr>
        <w:t>CONFORMACION DE BOLSA COMÚN</w:t>
      </w:r>
      <w:r w:rsidRPr="00CD7E5F">
        <w:rPr>
          <w:b/>
          <w:bCs/>
        </w:rPr>
        <w:t>,</w:t>
      </w:r>
    </w:p>
    <w:p w14:paraId="78438312" w14:textId="4446A0AA" w:rsidR="00CD7E5F" w:rsidRDefault="00CD7E5F" w:rsidP="00CD7E5F">
      <w:pPr>
        <w:ind w:left="-709"/>
        <w:jc w:val="both"/>
        <w:rPr>
          <w:rFonts w:asciiTheme="minorHAnsi" w:hAnsiTheme="minorHAnsi" w:cstheme="minorBidi"/>
        </w:rPr>
      </w:pPr>
      <w:r w:rsidRPr="00CD7E5F">
        <w:rPr>
          <w:rFonts w:asciiTheme="minorHAnsi" w:hAnsiTheme="minorHAnsi" w:cstheme="minorBidi"/>
        </w:rPr>
        <w:t xml:space="preserve">La Unidad Alimentos para Aprender emitió comunicado el día 15 de marzo con destino a todas las entidades territoriales certificadas del orden departamental con el fin de conocer copia de los convenios, acuerdos y/o resoluciones de transferencia, suscritos con los municipios no certificados para la conformación de Bolsa Común o en su defecto, copia de las gestiones adelantadas en la promoción de estos y su efectivo desarrollo, producto de esto se tiene:    </w:t>
      </w:r>
    </w:p>
    <w:p w14:paraId="2A9C203A" w14:textId="4E9F5C4A" w:rsidR="00823046" w:rsidRDefault="00823046" w:rsidP="00823046">
      <w:pPr>
        <w:jc w:val="both"/>
      </w:pPr>
    </w:p>
    <w:p w14:paraId="7DCD7439" w14:textId="77777777" w:rsidR="00823046" w:rsidRPr="00823046" w:rsidRDefault="00823046" w:rsidP="00823046">
      <w:pPr>
        <w:pStyle w:val="Prrafodelista"/>
        <w:numPr>
          <w:ilvl w:val="0"/>
          <w:numId w:val="10"/>
        </w:numPr>
        <w:spacing w:after="0" w:line="240" w:lineRule="auto"/>
        <w:ind w:left="-426" w:hanging="283"/>
        <w:contextualSpacing w:val="0"/>
        <w:jc w:val="both"/>
      </w:pPr>
      <w:r w:rsidRPr="00823046">
        <w:rPr>
          <w:b/>
          <w:bCs/>
        </w:rPr>
        <w:t>11 departamentos</w:t>
      </w:r>
      <w:r w:rsidRPr="00823046">
        <w:t xml:space="preserve"> (Arauca, Atlántico, Boyacá, Caldas, Choco, Córdoba, Guaviare, Meta, Quindío, Santander y Casanare) tienen conformada la bolsa común con sus municipios no certificados a través de los mecanismos permitidos de manera formal y según soportes allegados por los Departamentos, </w:t>
      </w:r>
    </w:p>
    <w:p w14:paraId="4DF09CED" w14:textId="77777777" w:rsidR="00823046" w:rsidRPr="00823046" w:rsidRDefault="00823046" w:rsidP="00823046">
      <w:pPr>
        <w:pStyle w:val="Prrafodelista"/>
        <w:numPr>
          <w:ilvl w:val="0"/>
          <w:numId w:val="10"/>
        </w:numPr>
        <w:spacing w:after="0" w:line="240" w:lineRule="auto"/>
        <w:ind w:left="-426" w:hanging="283"/>
        <w:contextualSpacing w:val="0"/>
        <w:jc w:val="both"/>
      </w:pPr>
      <w:r w:rsidRPr="00823046">
        <w:rPr>
          <w:b/>
          <w:bCs/>
        </w:rPr>
        <w:t>10 departamentos</w:t>
      </w:r>
      <w:r w:rsidRPr="00823046">
        <w:t xml:space="preserve"> (Bolívar, Cauca, Cundinamarca, Caquetá, Huila, Nariño, Norte de Santander, Putumayo, Tolima y Vichada) han adelantado mesas de trabajo con sus municipios a fin de determinar el mecanismo a utilizar para esta vigencia y/o están a la espera del cierre de ley de garantías para poder suscribir los convenios entre Entidades, no obstante, cuentan con cartas de compromisos o cartas de invitación hacía de los municipios aceptando la conformación de bolsa común.</w:t>
      </w:r>
    </w:p>
    <w:p w14:paraId="22C1116E" w14:textId="77777777" w:rsidR="00823046" w:rsidRPr="00823046" w:rsidRDefault="00823046" w:rsidP="00823046">
      <w:pPr>
        <w:pStyle w:val="Prrafodelista"/>
        <w:numPr>
          <w:ilvl w:val="0"/>
          <w:numId w:val="10"/>
        </w:numPr>
        <w:spacing w:after="0" w:line="240" w:lineRule="auto"/>
        <w:ind w:left="-426" w:hanging="283"/>
        <w:contextualSpacing w:val="0"/>
        <w:jc w:val="both"/>
      </w:pPr>
      <w:r w:rsidRPr="00823046">
        <w:rPr>
          <w:b/>
          <w:bCs/>
        </w:rPr>
        <w:lastRenderedPageBreak/>
        <w:t>3 departamentos</w:t>
      </w:r>
      <w:r w:rsidRPr="00823046">
        <w:t xml:space="preserve"> (Amazonas, Sucre y Vaupés) manifestaron que no han logrado llegar a acuerdos con los municipios no certificados para la conformación de bolsa común, recibiendo respuestas negativas de los mismos para adelantar las acciones necesarias, por lo tanto, se priorizara asistencia técnica de manera presencial por parte de la UAPA. </w:t>
      </w:r>
    </w:p>
    <w:p w14:paraId="63C680ED" w14:textId="535B293E" w:rsidR="00823046" w:rsidRPr="00823046" w:rsidRDefault="00823046" w:rsidP="00823046">
      <w:pPr>
        <w:pStyle w:val="Prrafodelista"/>
        <w:numPr>
          <w:ilvl w:val="0"/>
          <w:numId w:val="10"/>
        </w:numPr>
        <w:spacing w:after="0" w:line="240" w:lineRule="auto"/>
        <w:ind w:left="-426" w:hanging="283"/>
        <w:contextualSpacing w:val="0"/>
        <w:jc w:val="both"/>
      </w:pPr>
      <w:r w:rsidRPr="00823046">
        <w:rPr>
          <w:b/>
          <w:bCs/>
        </w:rPr>
        <w:t>8 departamentos</w:t>
      </w:r>
      <w:r w:rsidRPr="00823046">
        <w:t xml:space="preserve"> (Antioquia, Cesar, Guainía, La </w:t>
      </w:r>
      <w:r w:rsidRPr="00823046">
        <w:t>G</w:t>
      </w:r>
      <w:r w:rsidRPr="00823046">
        <w:t xml:space="preserve">uajira, Magdalena, Risaralda, San Andrés y Valle del Cauca) aún no han contestado la solicitud, por tanto, no se puede verificar el estado de la conformación de bolsa común, desde la UAPA se enviará segunda notificación a estos Departamentos, esta vez, de manera individual.    </w:t>
      </w:r>
    </w:p>
    <w:p w14:paraId="52A471B3" w14:textId="77777777" w:rsidR="00823046" w:rsidRPr="00CD7E5F" w:rsidRDefault="00823046" w:rsidP="00823046">
      <w:pPr>
        <w:jc w:val="both"/>
      </w:pPr>
    </w:p>
    <w:p w14:paraId="575ECE4E" w14:textId="3A94A27E" w:rsidR="004C7221" w:rsidRDefault="007A785D" w:rsidP="00815223">
      <w:pPr>
        <w:ind w:left="-709"/>
        <w:jc w:val="both"/>
        <w:rPr>
          <w:rFonts w:asciiTheme="minorHAnsi" w:hAnsiTheme="minorHAnsi" w:cstheme="minorHAnsi"/>
          <w:b/>
          <w:bCs/>
        </w:rPr>
      </w:pPr>
      <w:r w:rsidRPr="004C7221">
        <w:rPr>
          <w:b/>
          <w:bCs/>
          <w:color w:val="1F3864" w:themeColor="accent5" w:themeShade="80"/>
        </w:rPr>
        <w:t>CONSOLIDADOR DE HACIENDA E INFORMACIÓN PÚBLICA – CHIP</w:t>
      </w:r>
      <w:r w:rsidRPr="004C7221">
        <w:rPr>
          <w:rFonts w:asciiTheme="minorHAnsi" w:hAnsiTheme="minorHAnsi" w:cstheme="minorHAnsi"/>
          <w:b/>
          <w:bCs/>
        </w:rPr>
        <w:t xml:space="preserve">: </w:t>
      </w:r>
      <w:r w:rsidR="004A578B" w:rsidRPr="004C7221">
        <w:rPr>
          <w:rFonts w:asciiTheme="minorHAnsi" w:hAnsiTheme="minorHAnsi" w:cstheme="minorHAnsi"/>
          <w:b/>
          <w:bCs/>
        </w:rPr>
        <w:t xml:space="preserve"> </w:t>
      </w:r>
    </w:p>
    <w:p w14:paraId="732A855A" w14:textId="77777777" w:rsidR="00197E01" w:rsidRPr="00632B1E" w:rsidRDefault="00197E01" w:rsidP="00815223">
      <w:pPr>
        <w:ind w:left="-709"/>
        <w:jc w:val="both"/>
        <w:rPr>
          <w:rFonts w:asciiTheme="minorHAnsi" w:hAnsiTheme="minorHAnsi" w:cstheme="minorHAnsi"/>
          <w:b/>
          <w:bCs/>
          <w:sz w:val="6"/>
          <w:szCs w:val="6"/>
        </w:rPr>
      </w:pPr>
    </w:p>
    <w:p w14:paraId="078B7CF7" w14:textId="7095E170" w:rsidR="00CD7E5F" w:rsidRDefault="00CD7E5F" w:rsidP="00CD7E5F">
      <w:pPr>
        <w:ind w:left="-709"/>
        <w:jc w:val="both"/>
        <w:rPr>
          <w:rFonts w:asciiTheme="minorHAnsi" w:hAnsiTheme="minorHAnsi" w:cstheme="minorBidi"/>
        </w:rPr>
      </w:pPr>
      <w:r>
        <w:rPr>
          <w:rFonts w:asciiTheme="minorHAnsi" w:hAnsiTheme="minorHAnsi" w:cstheme="minorBidi"/>
        </w:rPr>
        <w:t>P</w:t>
      </w:r>
      <w:r w:rsidRPr="00CD7E5F">
        <w:rPr>
          <w:rFonts w:asciiTheme="minorHAnsi" w:hAnsiTheme="minorHAnsi" w:cstheme="minorBidi"/>
        </w:rPr>
        <w:t xml:space="preserve">ara el reporte de información de la vigencia 2021 de la Categoría UAPA PAE, se puede identificar que de las 96 ETC, </w:t>
      </w:r>
      <w:r w:rsidRPr="006D3BAC">
        <w:rPr>
          <w:rFonts w:asciiTheme="minorHAnsi" w:hAnsiTheme="minorHAnsi" w:cstheme="minorBidi"/>
          <w:b/>
          <w:bCs/>
        </w:rPr>
        <w:t>8</w:t>
      </w:r>
      <w:r w:rsidR="006D3BAC" w:rsidRPr="006D3BAC">
        <w:rPr>
          <w:rFonts w:asciiTheme="minorHAnsi" w:hAnsiTheme="minorHAnsi" w:cstheme="minorBidi"/>
          <w:b/>
          <w:bCs/>
        </w:rPr>
        <w:t>7</w:t>
      </w:r>
      <w:r w:rsidRPr="006D3BAC">
        <w:rPr>
          <w:rFonts w:asciiTheme="minorHAnsi" w:hAnsiTheme="minorHAnsi" w:cstheme="minorBidi"/>
          <w:b/>
          <w:bCs/>
        </w:rPr>
        <w:t xml:space="preserve"> ETC </w:t>
      </w:r>
      <w:r w:rsidRPr="00CD7E5F">
        <w:rPr>
          <w:rFonts w:asciiTheme="minorHAnsi" w:hAnsiTheme="minorHAnsi" w:cstheme="minorBidi"/>
        </w:rPr>
        <w:t xml:space="preserve">reportaron al menos un trimestre de información enviado y aceptado en el sistema CHIP, representando el </w:t>
      </w:r>
      <w:r w:rsidR="006D3BAC">
        <w:rPr>
          <w:rFonts w:asciiTheme="minorHAnsi" w:hAnsiTheme="minorHAnsi" w:cstheme="minorBidi"/>
        </w:rPr>
        <w:t>90,6</w:t>
      </w:r>
      <w:r w:rsidRPr="00CD7E5F">
        <w:rPr>
          <w:rFonts w:asciiTheme="minorHAnsi" w:hAnsiTheme="minorHAnsi" w:cstheme="minorBidi"/>
        </w:rPr>
        <w:t xml:space="preserve">%; y </w:t>
      </w:r>
      <w:r w:rsidR="006D3BAC" w:rsidRPr="006D3BAC">
        <w:rPr>
          <w:rFonts w:asciiTheme="minorHAnsi" w:hAnsiTheme="minorHAnsi" w:cstheme="minorBidi"/>
          <w:b/>
          <w:bCs/>
        </w:rPr>
        <w:t>9</w:t>
      </w:r>
      <w:r w:rsidRPr="006D3BAC">
        <w:rPr>
          <w:rFonts w:asciiTheme="minorHAnsi" w:hAnsiTheme="minorHAnsi" w:cstheme="minorBidi"/>
          <w:b/>
          <w:bCs/>
        </w:rPr>
        <w:t xml:space="preserve"> ETC</w:t>
      </w:r>
      <w:r w:rsidRPr="00CD7E5F">
        <w:rPr>
          <w:rFonts w:asciiTheme="minorHAnsi" w:hAnsiTheme="minorHAnsi" w:cstheme="minorBidi"/>
        </w:rPr>
        <w:t xml:space="preserve"> no reportaron información, que corresponde al </w:t>
      </w:r>
      <w:r w:rsidR="006D3BAC">
        <w:rPr>
          <w:rFonts w:asciiTheme="minorHAnsi" w:hAnsiTheme="minorHAnsi" w:cstheme="minorBidi"/>
        </w:rPr>
        <w:t>9,4</w:t>
      </w:r>
      <w:r w:rsidRPr="00CD7E5F">
        <w:rPr>
          <w:rFonts w:asciiTheme="minorHAnsi" w:hAnsiTheme="minorHAnsi" w:cstheme="minorBidi"/>
        </w:rPr>
        <w:t>% del total de entidades territoriales.</w:t>
      </w:r>
      <w:r>
        <w:rPr>
          <w:rFonts w:asciiTheme="minorHAnsi" w:hAnsiTheme="minorHAnsi" w:cstheme="minorBidi"/>
        </w:rPr>
        <w:t xml:space="preserve"> Conforme al reporte realizado por la ETC se indica:</w:t>
      </w:r>
    </w:p>
    <w:p w14:paraId="058E1D8B" w14:textId="77777777" w:rsidR="006D3BAC" w:rsidRDefault="006D3BAC" w:rsidP="006D3BAC">
      <w:pPr>
        <w:jc w:val="both"/>
        <w:rPr>
          <w:rFonts w:ascii="Arial Narrow" w:hAnsi="Arial Narrow"/>
          <w:sz w:val="24"/>
          <w:szCs w:val="24"/>
          <w:shd w:val="clear" w:color="auto" w:fill="FFFFFF"/>
        </w:rPr>
      </w:pPr>
    </w:p>
    <w:p w14:paraId="12CAA85C" w14:textId="67274758" w:rsidR="00197E01" w:rsidRDefault="00363ED4" w:rsidP="00197E01">
      <w:pPr>
        <w:pStyle w:val="Prrafodelista"/>
        <w:numPr>
          <w:ilvl w:val="0"/>
          <w:numId w:val="8"/>
        </w:numPr>
        <w:jc w:val="both"/>
      </w:pPr>
      <w:r>
        <w:rPr>
          <w:b/>
          <w:bCs/>
        </w:rPr>
        <w:t>9</w:t>
      </w:r>
      <w:r w:rsidR="00197E01" w:rsidRPr="00197E01">
        <w:rPr>
          <w:b/>
          <w:bCs/>
        </w:rPr>
        <w:t xml:space="preserve"> ETC</w:t>
      </w:r>
      <w:r w:rsidR="00197E01" w:rsidRPr="00197E01">
        <w:t xml:space="preserve"> que </w:t>
      </w:r>
      <w:r w:rsidR="00197E01" w:rsidRPr="00197E01">
        <w:rPr>
          <w:b/>
          <w:bCs/>
        </w:rPr>
        <w:t>NO reportaron información de la vigencia 2021</w:t>
      </w:r>
      <w:r w:rsidR="00197E01" w:rsidRPr="00197E01">
        <w:t xml:space="preserve"> a la fecha de cierre de la categoría son: Pitalito, Barrancabermeja, Ciénaga, Antioquia, </w:t>
      </w:r>
      <w:r w:rsidR="00197E01">
        <w:t>La</w:t>
      </w:r>
      <w:r w:rsidR="00197E01" w:rsidRPr="00197E01">
        <w:t xml:space="preserve"> Guajira, Montería, Popayán, Quibdó y Lorica.</w:t>
      </w:r>
    </w:p>
    <w:p w14:paraId="0E1459FF" w14:textId="36D056B9" w:rsidR="00197E01" w:rsidRDefault="00A25EC3" w:rsidP="00197E01">
      <w:pPr>
        <w:pStyle w:val="Prrafodelista"/>
        <w:numPr>
          <w:ilvl w:val="0"/>
          <w:numId w:val="8"/>
        </w:numPr>
        <w:jc w:val="both"/>
      </w:pPr>
      <w:r>
        <w:rPr>
          <w:b/>
          <w:bCs/>
        </w:rPr>
        <w:t>5</w:t>
      </w:r>
      <w:r w:rsidR="00197E01">
        <w:rPr>
          <w:b/>
          <w:bCs/>
        </w:rPr>
        <w:t xml:space="preserve"> ETC </w:t>
      </w:r>
      <w:r w:rsidR="00197E01" w:rsidRPr="00CD7E5F">
        <w:t xml:space="preserve"> reportaron </w:t>
      </w:r>
      <w:r w:rsidR="00197E01" w:rsidRPr="00197E01">
        <w:rPr>
          <w:b/>
          <w:bCs/>
        </w:rPr>
        <w:t>un trimestre</w:t>
      </w:r>
      <w:r w:rsidR="00197E01" w:rsidRPr="00CD7E5F">
        <w:t xml:space="preserve"> son:  Huila, Neiva, Sogamoso, Yumbo y Zipaquirá.</w:t>
      </w:r>
    </w:p>
    <w:p w14:paraId="0D262A6F" w14:textId="603A62BC" w:rsidR="00197E01" w:rsidRDefault="00F13558" w:rsidP="00CD7E5F">
      <w:pPr>
        <w:pStyle w:val="Prrafodelista"/>
        <w:numPr>
          <w:ilvl w:val="0"/>
          <w:numId w:val="8"/>
        </w:numPr>
        <w:jc w:val="both"/>
      </w:pPr>
      <w:r>
        <w:rPr>
          <w:b/>
          <w:bCs/>
        </w:rPr>
        <w:t>2</w:t>
      </w:r>
      <w:r w:rsidR="00197E01" w:rsidRPr="00197E01">
        <w:rPr>
          <w:b/>
          <w:bCs/>
        </w:rPr>
        <w:t xml:space="preserve"> ETC</w:t>
      </w:r>
      <w:r w:rsidR="00197E01">
        <w:t xml:space="preserve"> </w:t>
      </w:r>
      <w:r w:rsidR="00CD7E5F" w:rsidRPr="00CD7E5F">
        <w:t xml:space="preserve">reportaron </w:t>
      </w:r>
      <w:r w:rsidR="00CD7E5F" w:rsidRPr="00197E01">
        <w:rPr>
          <w:b/>
          <w:bCs/>
        </w:rPr>
        <w:t>dos trimestres</w:t>
      </w:r>
      <w:r w:rsidR="00CD7E5F" w:rsidRPr="00CD7E5F">
        <w:t xml:space="preserve"> son: Cesar</w:t>
      </w:r>
      <w:r w:rsidR="006D3BAC">
        <w:t xml:space="preserve"> y Tolima</w:t>
      </w:r>
      <w:r w:rsidR="00CD7E5F" w:rsidRPr="00CD7E5F">
        <w:t xml:space="preserve">. </w:t>
      </w:r>
    </w:p>
    <w:p w14:paraId="2EEA1DD2" w14:textId="6146C2EB" w:rsidR="00860795" w:rsidRDefault="00F13558" w:rsidP="00860795">
      <w:pPr>
        <w:pStyle w:val="Prrafodelista"/>
        <w:numPr>
          <w:ilvl w:val="0"/>
          <w:numId w:val="8"/>
        </w:numPr>
        <w:jc w:val="both"/>
      </w:pPr>
      <w:r>
        <w:rPr>
          <w:b/>
          <w:bCs/>
        </w:rPr>
        <w:t>5</w:t>
      </w:r>
      <w:r w:rsidR="00860795" w:rsidRPr="00197E01">
        <w:rPr>
          <w:b/>
          <w:bCs/>
        </w:rPr>
        <w:t xml:space="preserve"> ETC</w:t>
      </w:r>
      <w:r w:rsidR="00860795">
        <w:t xml:space="preserve"> r</w:t>
      </w:r>
      <w:r w:rsidR="00860795" w:rsidRPr="00CD7E5F">
        <w:t>eportaron</w:t>
      </w:r>
      <w:r w:rsidR="00860795">
        <w:t xml:space="preserve"> solamente</w:t>
      </w:r>
      <w:r w:rsidR="00860795" w:rsidRPr="00CD7E5F">
        <w:t xml:space="preserve"> </w:t>
      </w:r>
      <w:r w:rsidR="00860795" w:rsidRPr="00197E01">
        <w:rPr>
          <w:b/>
          <w:bCs/>
        </w:rPr>
        <w:t>tres trimestres</w:t>
      </w:r>
      <w:r w:rsidR="00860795" w:rsidRPr="00CD7E5F">
        <w:t xml:space="preserve"> de la vigencia 2021: Cauca, </w:t>
      </w:r>
      <w:r w:rsidR="006D3BAC">
        <w:t xml:space="preserve">Cúcuta, </w:t>
      </w:r>
      <w:r w:rsidR="00860795" w:rsidRPr="00CD7E5F">
        <w:t>Dosquebradas, Palmira y Soledad</w:t>
      </w:r>
      <w:r w:rsidR="00FD706E">
        <w:t>.</w:t>
      </w:r>
    </w:p>
    <w:p w14:paraId="6328E8FA" w14:textId="04DD0442" w:rsidR="00CD7E5F" w:rsidRPr="00197E01" w:rsidRDefault="00363ED4" w:rsidP="00197E01">
      <w:pPr>
        <w:pStyle w:val="Prrafodelista"/>
        <w:numPr>
          <w:ilvl w:val="0"/>
          <w:numId w:val="8"/>
        </w:numPr>
        <w:jc w:val="both"/>
      </w:pPr>
      <w:r>
        <w:rPr>
          <w:b/>
          <w:bCs/>
        </w:rPr>
        <w:t>75</w:t>
      </w:r>
      <w:r w:rsidR="00CD7E5F" w:rsidRPr="00197E01">
        <w:rPr>
          <w:b/>
          <w:bCs/>
        </w:rPr>
        <w:t xml:space="preserve"> ETC cumplieron</w:t>
      </w:r>
      <w:r w:rsidR="00CD7E5F" w:rsidRPr="00197E01">
        <w:t xml:space="preserve"> con el reporte completo y oportuno en la categoría UAPA PAE vigencia 2021.</w:t>
      </w:r>
    </w:p>
    <w:p w14:paraId="66C689F4" w14:textId="28D3228A" w:rsidR="00686EA4" w:rsidRPr="004C7221" w:rsidRDefault="00686EA4" w:rsidP="004F5F71">
      <w:pPr>
        <w:ind w:left="-709" w:right="-518"/>
        <w:jc w:val="both"/>
        <w:rPr>
          <w:b/>
          <w:bCs/>
          <w:color w:val="1F3864" w:themeColor="accent5" w:themeShade="80"/>
        </w:rPr>
      </w:pPr>
      <w:r w:rsidRPr="004C7221">
        <w:rPr>
          <w:b/>
          <w:bCs/>
          <w:color w:val="1F3864" w:themeColor="accent5" w:themeShade="80"/>
        </w:rPr>
        <w:t xml:space="preserve">COMUNICADOS ANEXOS EMITIDOS LOS ÚLTIMOS DÍAS POR ALERTAS DE CALIDAD DEL SERVICIO </w:t>
      </w:r>
    </w:p>
    <w:p w14:paraId="5890E86A" w14:textId="77777777" w:rsidR="00104026" w:rsidRPr="00632B1E" w:rsidRDefault="00104026" w:rsidP="00576328">
      <w:pPr>
        <w:jc w:val="both"/>
        <w:rPr>
          <w:b/>
          <w:bCs/>
          <w:sz w:val="6"/>
          <w:szCs w:val="6"/>
        </w:rPr>
      </w:pPr>
    </w:p>
    <w:p w14:paraId="5CD58B3B" w14:textId="3B00B146" w:rsidR="0053013F" w:rsidRPr="00632B1E" w:rsidRDefault="0053013F" w:rsidP="00E67927">
      <w:pPr>
        <w:pStyle w:val="Prrafodelista"/>
        <w:numPr>
          <w:ilvl w:val="0"/>
          <w:numId w:val="3"/>
        </w:numPr>
        <w:tabs>
          <w:tab w:val="left" w:pos="-142"/>
        </w:tabs>
        <w:spacing w:after="0" w:line="240" w:lineRule="auto"/>
        <w:ind w:left="-284" w:hanging="425"/>
        <w:jc w:val="both"/>
        <w:rPr>
          <w:rStyle w:val="Hipervnculo"/>
          <w:color w:val="auto"/>
          <w:sz w:val="19"/>
          <w:szCs w:val="19"/>
          <w:u w:val="none"/>
        </w:rPr>
      </w:pPr>
      <w:r w:rsidRPr="00632B1E">
        <w:rPr>
          <w:rStyle w:val="Hipervnculo"/>
          <w:color w:val="auto"/>
          <w:sz w:val="19"/>
          <w:szCs w:val="19"/>
          <w:u w:val="none"/>
        </w:rPr>
        <w:t xml:space="preserve">08/03/2022: </w:t>
      </w:r>
      <w:hyperlink r:id="rId7" w:history="1">
        <w:r w:rsidRPr="00632B1E">
          <w:rPr>
            <w:rStyle w:val="Hipervnculo"/>
            <w:sz w:val="19"/>
            <w:szCs w:val="19"/>
          </w:rPr>
          <w:t>Pronunciamiento de la UApA sobre el PAE en Riohacha</w:t>
        </w:r>
      </w:hyperlink>
    </w:p>
    <w:p w14:paraId="4248F9F7" w14:textId="29ECB412" w:rsidR="00591743" w:rsidRPr="00632B1E" w:rsidRDefault="00576328" w:rsidP="00E67927">
      <w:pPr>
        <w:pStyle w:val="Prrafodelista"/>
        <w:numPr>
          <w:ilvl w:val="0"/>
          <w:numId w:val="3"/>
        </w:numPr>
        <w:tabs>
          <w:tab w:val="left" w:pos="-142"/>
        </w:tabs>
        <w:spacing w:after="0" w:line="240" w:lineRule="auto"/>
        <w:ind w:left="-284" w:hanging="425"/>
        <w:jc w:val="both"/>
        <w:rPr>
          <w:sz w:val="19"/>
          <w:szCs w:val="19"/>
        </w:rPr>
      </w:pPr>
      <w:r w:rsidRPr="00632B1E">
        <w:rPr>
          <w:sz w:val="19"/>
          <w:szCs w:val="19"/>
        </w:rPr>
        <w:t>11/03</w:t>
      </w:r>
      <w:r w:rsidR="007E47EE" w:rsidRPr="00632B1E">
        <w:rPr>
          <w:sz w:val="19"/>
          <w:szCs w:val="19"/>
        </w:rPr>
        <w:t>/</w:t>
      </w:r>
      <w:r w:rsidRPr="00632B1E">
        <w:rPr>
          <w:sz w:val="19"/>
          <w:szCs w:val="19"/>
        </w:rPr>
        <w:t xml:space="preserve">2022: </w:t>
      </w:r>
      <w:hyperlink r:id="rId8" w:history="1">
        <w:r w:rsidRPr="00632B1E">
          <w:rPr>
            <w:rStyle w:val="Hipervnculo"/>
            <w:sz w:val="19"/>
            <w:szCs w:val="19"/>
          </w:rPr>
          <w:t>Los 5 presuntos casos de ETA en Boyacá están siendo investigados</w:t>
        </w:r>
      </w:hyperlink>
      <w:r w:rsidR="00591743" w:rsidRPr="00632B1E">
        <w:rPr>
          <w:sz w:val="19"/>
          <w:szCs w:val="19"/>
        </w:rPr>
        <w:t xml:space="preserve"> </w:t>
      </w:r>
    </w:p>
    <w:p w14:paraId="78C4E7C2" w14:textId="1752A432" w:rsidR="007E47EE" w:rsidRPr="00632B1E" w:rsidRDefault="007E47EE" w:rsidP="00E67927">
      <w:pPr>
        <w:pStyle w:val="Prrafodelista"/>
        <w:numPr>
          <w:ilvl w:val="0"/>
          <w:numId w:val="3"/>
        </w:numPr>
        <w:tabs>
          <w:tab w:val="left" w:pos="-142"/>
        </w:tabs>
        <w:spacing w:after="0" w:line="240" w:lineRule="auto"/>
        <w:ind w:left="-284" w:hanging="425"/>
        <w:jc w:val="both"/>
        <w:rPr>
          <w:sz w:val="19"/>
          <w:szCs w:val="19"/>
        </w:rPr>
      </w:pPr>
      <w:r w:rsidRPr="00632B1E">
        <w:rPr>
          <w:sz w:val="19"/>
          <w:szCs w:val="19"/>
        </w:rPr>
        <w:t xml:space="preserve">14/03/2022: </w:t>
      </w:r>
      <w:hyperlink r:id="rId9" w:history="1">
        <w:r w:rsidRPr="00632B1E">
          <w:rPr>
            <w:rStyle w:val="Hipervnculo"/>
            <w:sz w:val="19"/>
            <w:szCs w:val="19"/>
          </w:rPr>
          <w:t>Queso costeño, sin rotulado, asociado a un posible brote de ETA en Antioquia</w:t>
        </w:r>
      </w:hyperlink>
    </w:p>
    <w:p w14:paraId="128C93B9" w14:textId="235573D0" w:rsidR="007E47EE" w:rsidRPr="00632B1E" w:rsidRDefault="00C30722" w:rsidP="00E67927">
      <w:pPr>
        <w:pStyle w:val="Prrafodelista"/>
        <w:numPr>
          <w:ilvl w:val="0"/>
          <w:numId w:val="3"/>
        </w:numPr>
        <w:tabs>
          <w:tab w:val="left" w:pos="-142"/>
        </w:tabs>
        <w:spacing w:after="0" w:line="240" w:lineRule="auto"/>
        <w:ind w:left="-284" w:hanging="425"/>
        <w:jc w:val="both"/>
        <w:rPr>
          <w:sz w:val="19"/>
          <w:szCs w:val="19"/>
        </w:rPr>
      </w:pPr>
      <w:r w:rsidRPr="00632B1E">
        <w:rPr>
          <w:sz w:val="19"/>
          <w:szCs w:val="19"/>
        </w:rPr>
        <w:t>14</w:t>
      </w:r>
      <w:r w:rsidR="007E47EE" w:rsidRPr="00632B1E">
        <w:rPr>
          <w:sz w:val="19"/>
          <w:szCs w:val="19"/>
        </w:rPr>
        <w:t>/03/2022:</w:t>
      </w:r>
      <w:r w:rsidRPr="00632B1E">
        <w:rPr>
          <w:sz w:val="19"/>
          <w:szCs w:val="19"/>
        </w:rPr>
        <w:t xml:space="preserve"> </w:t>
      </w:r>
      <w:hyperlink r:id="rId10" w:history="1">
        <w:r w:rsidRPr="00632B1E">
          <w:rPr>
            <w:rStyle w:val="Hipervnculo"/>
            <w:sz w:val="19"/>
            <w:szCs w:val="19"/>
          </w:rPr>
          <w:t>Identificada bacteria Bacillus Cereus en leche en polvo</w:t>
        </w:r>
      </w:hyperlink>
    </w:p>
    <w:p w14:paraId="7F7BFB1C" w14:textId="42A37C99" w:rsidR="007670C1" w:rsidRPr="00632B1E" w:rsidRDefault="007670C1" w:rsidP="00E67927">
      <w:pPr>
        <w:pStyle w:val="Prrafodelista"/>
        <w:numPr>
          <w:ilvl w:val="0"/>
          <w:numId w:val="3"/>
        </w:numPr>
        <w:tabs>
          <w:tab w:val="left" w:pos="-142"/>
        </w:tabs>
        <w:spacing w:after="0" w:line="240" w:lineRule="auto"/>
        <w:ind w:left="-284" w:hanging="425"/>
        <w:jc w:val="both"/>
        <w:rPr>
          <w:sz w:val="19"/>
          <w:szCs w:val="19"/>
        </w:rPr>
      </w:pPr>
      <w:r w:rsidRPr="00632B1E">
        <w:rPr>
          <w:sz w:val="19"/>
          <w:szCs w:val="19"/>
        </w:rPr>
        <w:t xml:space="preserve">17/03/2022: </w:t>
      </w:r>
      <w:hyperlink r:id="rId11" w:history="1">
        <w:r w:rsidRPr="00632B1E">
          <w:rPr>
            <w:rStyle w:val="Hipervnculo"/>
            <w:sz w:val="19"/>
            <w:szCs w:val="19"/>
          </w:rPr>
          <w:t>Informes finales sobre Enfermedad Transmitida por Alimentos en Boyacá</w:t>
        </w:r>
      </w:hyperlink>
    </w:p>
    <w:p w14:paraId="60271EE3" w14:textId="7E4BF800" w:rsidR="00576328" w:rsidRPr="00632B1E" w:rsidRDefault="00591743" w:rsidP="00E67927">
      <w:pPr>
        <w:pStyle w:val="Prrafodelista"/>
        <w:numPr>
          <w:ilvl w:val="0"/>
          <w:numId w:val="3"/>
        </w:numPr>
        <w:tabs>
          <w:tab w:val="left" w:pos="-142"/>
        </w:tabs>
        <w:spacing w:after="0" w:line="240" w:lineRule="auto"/>
        <w:ind w:left="-284" w:hanging="425"/>
        <w:jc w:val="both"/>
        <w:rPr>
          <w:rStyle w:val="Hipervnculo"/>
          <w:color w:val="auto"/>
          <w:sz w:val="19"/>
          <w:szCs w:val="19"/>
          <w:u w:val="none"/>
        </w:rPr>
      </w:pPr>
      <w:r w:rsidRPr="00632B1E">
        <w:rPr>
          <w:rStyle w:val="Hipervnculo"/>
          <w:color w:val="auto"/>
          <w:sz w:val="19"/>
          <w:szCs w:val="19"/>
          <w:u w:val="none"/>
        </w:rPr>
        <w:t xml:space="preserve">18/03/2022: </w:t>
      </w:r>
      <w:hyperlink r:id="rId12" w:history="1">
        <w:r w:rsidRPr="00632B1E">
          <w:rPr>
            <w:rStyle w:val="Hipervnculo"/>
            <w:sz w:val="19"/>
            <w:szCs w:val="19"/>
          </w:rPr>
          <w:t>Adecuado y oportuno control evitó el consumo de alimentos que presuntamente no cumplen con condiciones de calidad</w:t>
        </w:r>
      </w:hyperlink>
    </w:p>
    <w:p w14:paraId="25986827" w14:textId="77777777" w:rsidR="00632B1E" w:rsidRPr="00632B1E" w:rsidRDefault="000A5E7B" w:rsidP="004E49B2">
      <w:pPr>
        <w:pStyle w:val="Prrafodelista"/>
        <w:numPr>
          <w:ilvl w:val="0"/>
          <w:numId w:val="3"/>
        </w:numPr>
        <w:tabs>
          <w:tab w:val="left" w:pos="-142"/>
        </w:tabs>
        <w:spacing w:after="0" w:line="240" w:lineRule="auto"/>
        <w:ind w:left="-284" w:hanging="425"/>
        <w:jc w:val="both"/>
        <w:rPr>
          <w:rStyle w:val="Hipervnculo"/>
          <w:color w:val="auto"/>
          <w:sz w:val="19"/>
          <w:szCs w:val="19"/>
          <w:u w:val="none"/>
        </w:rPr>
      </w:pPr>
      <w:r w:rsidRPr="00632B1E">
        <w:rPr>
          <w:rStyle w:val="Hipervnculo"/>
          <w:color w:val="auto"/>
          <w:sz w:val="19"/>
          <w:szCs w:val="19"/>
          <w:u w:val="none"/>
        </w:rPr>
        <w:t xml:space="preserve">23/03/2022: </w:t>
      </w:r>
      <w:hyperlink r:id="rId13" w:history="1">
        <w:r w:rsidRPr="00632B1E">
          <w:rPr>
            <w:rStyle w:val="Hipervnculo"/>
            <w:sz w:val="19"/>
            <w:szCs w:val="19"/>
          </w:rPr>
          <w:t>Directriz en proveeduría de alimentos y materias primas en el PAE</w:t>
        </w:r>
      </w:hyperlink>
    </w:p>
    <w:p w14:paraId="05BE4ED9" w14:textId="1A1B64DE" w:rsidR="00E67927" w:rsidRPr="00632B1E" w:rsidRDefault="000A5E7B" w:rsidP="00632B1E">
      <w:pPr>
        <w:pStyle w:val="Prrafodelista"/>
        <w:numPr>
          <w:ilvl w:val="0"/>
          <w:numId w:val="3"/>
        </w:numPr>
        <w:tabs>
          <w:tab w:val="left" w:pos="-142"/>
        </w:tabs>
        <w:spacing w:after="0" w:line="240" w:lineRule="auto"/>
        <w:ind w:left="-284" w:hanging="425"/>
        <w:jc w:val="both"/>
        <w:rPr>
          <w:sz w:val="19"/>
          <w:szCs w:val="19"/>
        </w:rPr>
      </w:pPr>
      <w:r w:rsidRPr="00632B1E">
        <w:rPr>
          <w:rStyle w:val="Hipervnculo"/>
          <w:color w:val="auto"/>
          <w:sz w:val="19"/>
          <w:szCs w:val="19"/>
          <w:u w:val="none"/>
        </w:rPr>
        <w:t xml:space="preserve">24/03/2022: </w:t>
      </w:r>
      <w:hyperlink r:id="rId14" w:history="1">
        <w:r w:rsidRPr="00632B1E">
          <w:rPr>
            <w:rStyle w:val="Hipervnculo"/>
            <w:sz w:val="19"/>
            <w:szCs w:val="19"/>
          </w:rPr>
          <w:t>Los casos de brotes de ETA en Medellín, Bogotá y Huila ya se están investigando</w:t>
        </w:r>
      </w:hyperlink>
    </w:p>
    <w:p w14:paraId="22E0D79A" w14:textId="4B1090B5" w:rsidR="00924F4A" w:rsidRDefault="00924F4A" w:rsidP="004F5F71">
      <w:pPr>
        <w:ind w:left="-709" w:right="-518"/>
        <w:jc w:val="both"/>
        <w:rPr>
          <w:b/>
          <w:bCs/>
          <w:color w:val="1F3864" w:themeColor="accent5" w:themeShade="80"/>
          <w:sz w:val="12"/>
          <w:szCs w:val="12"/>
        </w:rPr>
      </w:pPr>
    </w:p>
    <w:p w14:paraId="558C470B" w14:textId="77777777" w:rsidR="009528D2" w:rsidRPr="009528D2" w:rsidRDefault="009528D2" w:rsidP="004F5F71">
      <w:pPr>
        <w:ind w:left="-709" w:right="-518"/>
        <w:jc w:val="both"/>
        <w:rPr>
          <w:b/>
          <w:bCs/>
          <w:color w:val="1F3864" w:themeColor="accent5" w:themeShade="80"/>
          <w:sz w:val="12"/>
          <w:szCs w:val="12"/>
        </w:rPr>
      </w:pPr>
    </w:p>
    <w:p w14:paraId="18A76F3D" w14:textId="77777777" w:rsidR="004C7221" w:rsidRPr="004F5F71" w:rsidRDefault="004C7221" w:rsidP="004C7221">
      <w:pPr>
        <w:ind w:left="-709" w:right="-518"/>
        <w:jc w:val="both"/>
        <w:rPr>
          <w:b/>
          <w:bCs/>
          <w:color w:val="1F3864" w:themeColor="accent5" w:themeShade="80"/>
        </w:rPr>
      </w:pPr>
      <w:r w:rsidRPr="004F5F71">
        <w:rPr>
          <w:b/>
          <w:bCs/>
          <w:color w:val="1F3864" w:themeColor="accent5" w:themeShade="80"/>
        </w:rPr>
        <w:t>ALERTAS</w:t>
      </w:r>
      <w:r>
        <w:rPr>
          <w:b/>
          <w:bCs/>
          <w:color w:val="1F3864" w:themeColor="accent5" w:themeShade="80"/>
        </w:rPr>
        <w:t xml:space="preserve"> DE CALIDAD E INOCUIDAD</w:t>
      </w:r>
      <w:r w:rsidRPr="004F5F71">
        <w:rPr>
          <w:b/>
          <w:bCs/>
          <w:color w:val="1F3864" w:themeColor="accent5" w:themeShade="80"/>
        </w:rPr>
        <w:t xml:space="preserve"> SANITARIAS</w:t>
      </w:r>
      <w:r>
        <w:rPr>
          <w:b/>
          <w:bCs/>
          <w:color w:val="1F3864" w:themeColor="accent5" w:themeShade="80"/>
        </w:rPr>
        <w:t xml:space="preserve">: </w:t>
      </w:r>
    </w:p>
    <w:p w14:paraId="7D1CAB55" w14:textId="36DAD834" w:rsidR="002D28FB" w:rsidRPr="002D28FB" w:rsidRDefault="002D28FB" w:rsidP="002D28FB">
      <w:pPr>
        <w:ind w:left="-709"/>
        <w:jc w:val="both"/>
      </w:pPr>
      <w:r w:rsidRPr="002D28FB">
        <w:t xml:space="preserve">El cuadro No.4,  se presentan alertas identificas del </w:t>
      </w:r>
      <w:r w:rsidR="001442C1">
        <w:t xml:space="preserve">01 al 06 de abril </w:t>
      </w:r>
      <w:r w:rsidRPr="002D28FB">
        <w:t>en la operación PAE a nivel nacional se identificaron las siguientes alertas:</w:t>
      </w:r>
    </w:p>
    <w:p w14:paraId="13B371D1" w14:textId="77777777" w:rsidR="002D28FB" w:rsidRPr="009528D2" w:rsidRDefault="002D28FB" w:rsidP="002D28FB">
      <w:pPr>
        <w:ind w:left="-709" w:right="-518" w:firstLine="709"/>
        <w:jc w:val="both"/>
        <w:rPr>
          <w:sz w:val="8"/>
          <w:szCs w:val="8"/>
        </w:rPr>
      </w:pPr>
    </w:p>
    <w:p w14:paraId="662210AD" w14:textId="742B482C" w:rsidR="002D28FB" w:rsidRDefault="002D28FB" w:rsidP="002D28FB">
      <w:pPr>
        <w:ind w:left="-709"/>
        <w:rPr>
          <w:sz w:val="20"/>
          <w:szCs w:val="20"/>
        </w:rPr>
      </w:pPr>
      <w:r w:rsidRPr="000A6C8A">
        <w:rPr>
          <w:b/>
          <w:bCs/>
          <w:sz w:val="20"/>
          <w:szCs w:val="20"/>
        </w:rPr>
        <w:t xml:space="preserve">Cuadro No. </w:t>
      </w:r>
      <w:r>
        <w:rPr>
          <w:b/>
          <w:bCs/>
          <w:sz w:val="20"/>
          <w:szCs w:val="20"/>
        </w:rPr>
        <w:t>4</w:t>
      </w:r>
      <w:r w:rsidRPr="000A6C8A">
        <w:rPr>
          <w:b/>
          <w:bCs/>
          <w:sz w:val="20"/>
          <w:szCs w:val="20"/>
        </w:rPr>
        <w:t xml:space="preserve">   </w:t>
      </w:r>
      <w:r>
        <w:rPr>
          <w:sz w:val="20"/>
          <w:szCs w:val="20"/>
        </w:rPr>
        <w:t>Alertas de Calidad e inocuidad</w:t>
      </w:r>
      <w:r w:rsidRPr="000A6C8A">
        <w:rPr>
          <w:sz w:val="20"/>
          <w:szCs w:val="20"/>
        </w:rPr>
        <w:t xml:space="preserve"> PAE</w:t>
      </w:r>
      <w:r>
        <w:rPr>
          <w:sz w:val="20"/>
          <w:szCs w:val="20"/>
        </w:rPr>
        <w:t xml:space="preserve"> </w:t>
      </w:r>
    </w:p>
    <w:tbl>
      <w:tblPr>
        <w:tblW w:w="10348" w:type="dxa"/>
        <w:tblInd w:w="-714" w:type="dxa"/>
        <w:tblCellMar>
          <w:left w:w="70" w:type="dxa"/>
          <w:right w:w="70" w:type="dxa"/>
        </w:tblCellMar>
        <w:tblLook w:val="04A0" w:firstRow="1" w:lastRow="0" w:firstColumn="1" w:lastColumn="0" w:noHBand="0" w:noVBand="1"/>
      </w:tblPr>
      <w:tblGrid>
        <w:gridCol w:w="1066"/>
        <w:gridCol w:w="2182"/>
        <w:gridCol w:w="1025"/>
        <w:gridCol w:w="6075"/>
      </w:tblGrid>
      <w:tr w:rsidR="00867B5A" w:rsidRPr="00870B76" w14:paraId="37BCD471" w14:textId="77777777" w:rsidTr="001D4A94">
        <w:trPr>
          <w:trHeight w:val="70"/>
          <w:tblHeader/>
        </w:trPr>
        <w:tc>
          <w:tcPr>
            <w:tcW w:w="1066" w:type="dxa"/>
            <w:tcBorders>
              <w:top w:val="single" w:sz="4" w:space="0" w:color="auto"/>
              <w:left w:val="single" w:sz="4" w:space="0" w:color="auto"/>
              <w:bottom w:val="single" w:sz="4" w:space="0" w:color="auto"/>
              <w:right w:val="single" w:sz="4" w:space="0" w:color="auto"/>
            </w:tcBorders>
            <w:shd w:val="clear" w:color="auto" w:fill="8496B0" w:themeFill="text2" w:themeFillTint="99"/>
            <w:vAlign w:val="center"/>
            <w:hideMark/>
          </w:tcPr>
          <w:p w14:paraId="2FAFD913" w14:textId="77777777" w:rsidR="00867B5A" w:rsidRPr="001B669A" w:rsidRDefault="00867B5A" w:rsidP="001B669A">
            <w:pPr>
              <w:widowControl w:val="0"/>
              <w:autoSpaceDE w:val="0"/>
              <w:autoSpaceDN w:val="0"/>
              <w:ind w:left="-709" w:firstLine="709"/>
              <w:jc w:val="center"/>
              <w:rPr>
                <w:rFonts w:asciiTheme="minorHAnsi" w:eastAsia="Times New Roman" w:hAnsiTheme="minorHAnsi" w:cstheme="minorHAnsi"/>
                <w:b/>
                <w:bCs/>
                <w:color w:val="000000"/>
                <w:sz w:val="20"/>
                <w:szCs w:val="20"/>
                <w:lang w:eastAsia="es-CO"/>
              </w:rPr>
            </w:pPr>
            <w:r w:rsidRPr="001B669A">
              <w:rPr>
                <w:rFonts w:asciiTheme="minorHAnsi" w:eastAsia="Times New Roman" w:hAnsiTheme="minorHAnsi" w:cstheme="minorHAnsi"/>
                <w:b/>
                <w:bCs/>
                <w:color w:val="000000"/>
                <w:sz w:val="20"/>
                <w:szCs w:val="20"/>
                <w:lang w:eastAsia="es-CO"/>
              </w:rPr>
              <w:t>ETC</w:t>
            </w:r>
          </w:p>
        </w:tc>
        <w:tc>
          <w:tcPr>
            <w:tcW w:w="2182" w:type="dxa"/>
            <w:tcBorders>
              <w:top w:val="single" w:sz="4" w:space="0" w:color="auto"/>
              <w:left w:val="nil"/>
              <w:bottom w:val="single" w:sz="4" w:space="0" w:color="auto"/>
              <w:right w:val="single" w:sz="4" w:space="0" w:color="auto"/>
            </w:tcBorders>
            <w:shd w:val="clear" w:color="auto" w:fill="8496B0" w:themeFill="text2" w:themeFillTint="99"/>
            <w:vAlign w:val="center"/>
            <w:hideMark/>
          </w:tcPr>
          <w:p w14:paraId="08277816" w14:textId="77777777" w:rsidR="00867B5A" w:rsidRPr="001B669A" w:rsidRDefault="00867B5A" w:rsidP="001B669A">
            <w:pPr>
              <w:widowControl w:val="0"/>
              <w:autoSpaceDE w:val="0"/>
              <w:autoSpaceDN w:val="0"/>
              <w:ind w:left="-709" w:firstLine="709"/>
              <w:jc w:val="center"/>
              <w:rPr>
                <w:rFonts w:asciiTheme="minorHAnsi" w:eastAsia="Times New Roman" w:hAnsiTheme="minorHAnsi" w:cstheme="minorHAnsi"/>
                <w:b/>
                <w:bCs/>
                <w:color w:val="000000"/>
                <w:sz w:val="20"/>
                <w:szCs w:val="20"/>
                <w:lang w:eastAsia="es-CO"/>
              </w:rPr>
            </w:pPr>
            <w:r w:rsidRPr="001B669A">
              <w:rPr>
                <w:rFonts w:asciiTheme="minorHAnsi" w:eastAsia="Times New Roman" w:hAnsiTheme="minorHAnsi" w:cstheme="minorHAnsi"/>
                <w:b/>
                <w:bCs/>
                <w:color w:val="000000"/>
                <w:sz w:val="20"/>
                <w:szCs w:val="20"/>
                <w:lang w:eastAsia="es-CO"/>
              </w:rPr>
              <w:t>ALERTA</w:t>
            </w:r>
          </w:p>
        </w:tc>
        <w:tc>
          <w:tcPr>
            <w:tcW w:w="1025" w:type="dxa"/>
            <w:tcBorders>
              <w:top w:val="single" w:sz="4" w:space="0" w:color="auto"/>
              <w:left w:val="nil"/>
              <w:bottom w:val="single" w:sz="4" w:space="0" w:color="auto"/>
              <w:right w:val="single" w:sz="4" w:space="0" w:color="auto"/>
            </w:tcBorders>
            <w:shd w:val="clear" w:color="auto" w:fill="8496B0" w:themeFill="text2" w:themeFillTint="99"/>
            <w:vAlign w:val="center"/>
            <w:hideMark/>
          </w:tcPr>
          <w:p w14:paraId="6D36A7BA" w14:textId="77777777" w:rsidR="00867B5A" w:rsidRPr="001B669A" w:rsidRDefault="00867B5A" w:rsidP="001B669A">
            <w:pPr>
              <w:widowControl w:val="0"/>
              <w:autoSpaceDE w:val="0"/>
              <w:autoSpaceDN w:val="0"/>
              <w:ind w:left="-709" w:firstLine="709"/>
              <w:jc w:val="center"/>
              <w:rPr>
                <w:rFonts w:asciiTheme="minorHAnsi" w:eastAsia="Times New Roman" w:hAnsiTheme="minorHAnsi" w:cstheme="minorHAnsi"/>
                <w:b/>
                <w:bCs/>
                <w:color w:val="000000"/>
                <w:sz w:val="20"/>
                <w:szCs w:val="20"/>
                <w:lang w:eastAsia="es-CO"/>
              </w:rPr>
            </w:pPr>
            <w:r w:rsidRPr="001B669A">
              <w:rPr>
                <w:rFonts w:asciiTheme="minorHAnsi" w:eastAsia="Times New Roman" w:hAnsiTheme="minorHAnsi" w:cstheme="minorHAnsi"/>
                <w:b/>
                <w:bCs/>
                <w:color w:val="000000"/>
                <w:sz w:val="20"/>
                <w:szCs w:val="20"/>
                <w:lang w:eastAsia="es-CO"/>
              </w:rPr>
              <w:t>FECHA</w:t>
            </w:r>
          </w:p>
        </w:tc>
        <w:tc>
          <w:tcPr>
            <w:tcW w:w="6075" w:type="dxa"/>
            <w:tcBorders>
              <w:top w:val="single" w:sz="4" w:space="0" w:color="auto"/>
              <w:left w:val="nil"/>
              <w:bottom w:val="single" w:sz="4" w:space="0" w:color="auto"/>
              <w:right w:val="single" w:sz="4" w:space="0" w:color="auto"/>
            </w:tcBorders>
            <w:shd w:val="clear" w:color="auto" w:fill="8496B0" w:themeFill="text2" w:themeFillTint="99"/>
            <w:vAlign w:val="center"/>
            <w:hideMark/>
          </w:tcPr>
          <w:p w14:paraId="64CD6C33" w14:textId="77777777" w:rsidR="00867B5A" w:rsidRPr="001B669A" w:rsidRDefault="00867B5A" w:rsidP="001B669A">
            <w:pPr>
              <w:widowControl w:val="0"/>
              <w:autoSpaceDE w:val="0"/>
              <w:autoSpaceDN w:val="0"/>
              <w:ind w:left="-709" w:firstLine="709"/>
              <w:jc w:val="center"/>
              <w:rPr>
                <w:rFonts w:asciiTheme="minorHAnsi" w:eastAsia="Times New Roman" w:hAnsiTheme="minorHAnsi" w:cstheme="minorHAnsi"/>
                <w:b/>
                <w:bCs/>
                <w:color w:val="000000"/>
                <w:sz w:val="20"/>
                <w:szCs w:val="20"/>
                <w:lang w:eastAsia="es-CO"/>
              </w:rPr>
            </w:pPr>
            <w:r w:rsidRPr="001B669A">
              <w:rPr>
                <w:rFonts w:asciiTheme="minorHAnsi" w:eastAsia="Times New Roman" w:hAnsiTheme="minorHAnsi" w:cstheme="minorHAnsi"/>
                <w:b/>
                <w:bCs/>
                <w:color w:val="000000"/>
                <w:sz w:val="20"/>
                <w:szCs w:val="20"/>
                <w:lang w:eastAsia="es-CO"/>
              </w:rPr>
              <w:t xml:space="preserve">SEGUIMIENTO </w:t>
            </w:r>
          </w:p>
        </w:tc>
      </w:tr>
      <w:tr w:rsidR="00867B5A" w:rsidRPr="00870B76" w14:paraId="7FB8D12C" w14:textId="77777777" w:rsidTr="00867B5A">
        <w:trPr>
          <w:trHeight w:val="1509"/>
        </w:trPr>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ECCD0" w14:textId="72C8B42E" w:rsidR="00867B5A" w:rsidRPr="00867B5A" w:rsidRDefault="00867B5A" w:rsidP="00797E95">
            <w:pPr>
              <w:jc w:val="center"/>
              <w:rPr>
                <w:rFonts w:eastAsia="Times New Roman"/>
                <w:b/>
                <w:bCs/>
                <w:color w:val="000000"/>
                <w:sz w:val="18"/>
                <w:szCs w:val="18"/>
                <w:lang w:eastAsia="es-CO"/>
              </w:rPr>
            </w:pPr>
            <w:r w:rsidRPr="00867B5A">
              <w:rPr>
                <w:rFonts w:eastAsia="Times New Roman"/>
                <w:b/>
                <w:bCs/>
                <w:color w:val="000000"/>
                <w:sz w:val="18"/>
                <w:szCs w:val="18"/>
                <w:lang w:eastAsia="es-CO"/>
              </w:rPr>
              <w:t>CAUCA</w:t>
            </w:r>
          </w:p>
        </w:tc>
        <w:tc>
          <w:tcPr>
            <w:tcW w:w="2182" w:type="dxa"/>
            <w:tcBorders>
              <w:top w:val="single" w:sz="4" w:space="0" w:color="auto"/>
              <w:left w:val="nil"/>
              <w:bottom w:val="single" w:sz="4" w:space="0" w:color="auto"/>
              <w:right w:val="single" w:sz="4" w:space="0" w:color="auto"/>
            </w:tcBorders>
            <w:shd w:val="clear" w:color="auto" w:fill="auto"/>
            <w:vAlign w:val="center"/>
          </w:tcPr>
          <w:p w14:paraId="387438A1" w14:textId="77777777" w:rsidR="00867B5A" w:rsidRPr="00867B5A" w:rsidRDefault="00867B5A" w:rsidP="00797E95">
            <w:pPr>
              <w:jc w:val="both"/>
              <w:rPr>
                <w:rFonts w:eastAsia="Times New Roman"/>
                <w:color w:val="000000"/>
                <w:sz w:val="18"/>
                <w:szCs w:val="18"/>
                <w:lang w:eastAsia="es-CO"/>
              </w:rPr>
            </w:pPr>
            <w:r w:rsidRPr="00867B5A">
              <w:rPr>
                <w:rFonts w:eastAsia="Times New Roman"/>
                <w:color w:val="000000"/>
                <w:sz w:val="18"/>
                <w:szCs w:val="18"/>
                <w:lang w:eastAsia="es-CO"/>
              </w:rPr>
              <w:t>En medios de comunicación se informaron irregularidades con la calidad de los alimentos suministrados por el PAE en la zona rural de Piendamó, Cauca.</w:t>
            </w:r>
          </w:p>
        </w:tc>
        <w:tc>
          <w:tcPr>
            <w:tcW w:w="1025" w:type="dxa"/>
            <w:tcBorders>
              <w:top w:val="single" w:sz="4" w:space="0" w:color="auto"/>
              <w:left w:val="nil"/>
              <w:bottom w:val="single" w:sz="4" w:space="0" w:color="auto"/>
              <w:right w:val="single" w:sz="4" w:space="0" w:color="auto"/>
            </w:tcBorders>
            <w:shd w:val="clear" w:color="auto" w:fill="auto"/>
            <w:vAlign w:val="center"/>
          </w:tcPr>
          <w:p w14:paraId="5DAD55FF" w14:textId="77777777" w:rsidR="00867B5A" w:rsidRPr="00867B5A" w:rsidRDefault="00867B5A" w:rsidP="00797E95">
            <w:pPr>
              <w:jc w:val="center"/>
              <w:rPr>
                <w:rFonts w:eastAsia="Times New Roman"/>
                <w:color w:val="000000"/>
                <w:sz w:val="18"/>
                <w:szCs w:val="18"/>
                <w:lang w:eastAsia="es-CO"/>
              </w:rPr>
            </w:pPr>
            <w:r w:rsidRPr="00867B5A">
              <w:rPr>
                <w:rFonts w:eastAsia="Times New Roman"/>
                <w:color w:val="000000"/>
                <w:sz w:val="18"/>
                <w:szCs w:val="18"/>
                <w:lang w:eastAsia="es-CO"/>
              </w:rPr>
              <w:t>31/03/2022</w:t>
            </w:r>
          </w:p>
        </w:tc>
        <w:tc>
          <w:tcPr>
            <w:tcW w:w="6075" w:type="dxa"/>
            <w:tcBorders>
              <w:top w:val="single" w:sz="4" w:space="0" w:color="auto"/>
              <w:left w:val="nil"/>
              <w:bottom w:val="single" w:sz="4" w:space="0" w:color="auto"/>
              <w:right w:val="single" w:sz="4" w:space="0" w:color="auto"/>
            </w:tcBorders>
            <w:shd w:val="clear" w:color="auto" w:fill="auto"/>
            <w:vAlign w:val="center"/>
          </w:tcPr>
          <w:p w14:paraId="5DC90BD9" w14:textId="77777777" w:rsidR="00867B5A" w:rsidRPr="00867B5A" w:rsidRDefault="00867B5A" w:rsidP="00797E95">
            <w:pPr>
              <w:jc w:val="both"/>
              <w:rPr>
                <w:rFonts w:eastAsia="Times New Roman"/>
                <w:color w:val="000000"/>
                <w:sz w:val="18"/>
                <w:szCs w:val="18"/>
                <w:lang w:eastAsia="es-CO"/>
              </w:rPr>
            </w:pPr>
            <w:r w:rsidRPr="00867B5A">
              <w:rPr>
                <w:rFonts w:eastAsia="Times New Roman"/>
                <w:color w:val="000000"/>
                <w:sz w:val="18"/>
                <w:szCs w:val="18"/>
                <w:lang w:eastAsia="es-CO"/>
              </w:rPr>
              <w:t>Según información publicada el día 31 de marzo por diarios oficiales: “varias instituciones educativas se han quejado por la mala condición de alimentos recibidos del PAE", donde se pueden observar verduras y hortalizas en estado de descomposición.</w:t>
            </w:r>
          </w:p>
          <w:p w14:paraId="04D87979" w14:textId="77777777" w:rsidR="00867B5A" w:rsidRPr="00867B5A" w:rsidRDefault="00867B5A" w:rsidP="00797E95">
            <w:pPr>
              <w:jc w:val="both"/>
              <w:rPr>
                <w:rFonts w:eastAsia="Times New Roman"/>
                <w:color w:val="000000"/>
                <w:sz w:val="18"/>
                <w:szCs w:val="18"/>
                <w:lang w:eastAsia="es-CO"/>
              </w:rPr>
            </w:pPr>
            <w:r w:rsidRPr="00867B5A">
              <w:rPr>
                <w:rFonts w:eastAsia="Times New Roman"/>
                <w:color w:val="000000"/>
                <w:sz w:val="18"/>
                <w:szCs w:val="18"/>
                <w:lang w:eastAsia="es-CO"/>
              </w:rPr>
              <w:t xml:space="preserve"> </w:t>
            </w:r>
            <w:r w:rsidRPr="00867B5A">
              <w:rPr>
                <w:rFonts w:eastAsia="Times New Roman"/>
                <w:color w:val="000000"/>
                <w:sz w:val="18"/>
                <w:szCs w:val="18"/>
                <w:lang w:eastAsia="es-CO"/>
              </w:rPr>
              <w:br/>
              <w:t>Seguimiento UApA: Se solicitó a la ETC el plan de mejoramiento y avances con fecha máxima de entrega 10 de abril 2022.</w:t>
            </w:r>
          </w:p>
        </w:tc>
      </w:tr>
      <w:tr w:rsidR="00867B5A" w:rsidRPr="00870B76" w14:paraId="319BDB31" w14:textId="77777777" w:rsidTr="00867B5A">
        <w:trPr>
          <w:trHeight w:val="1321"/>
        </w:trPr>
        <w:tc>
          <w:tcPr>
            <w:tcW w:w="1066" w:type="dxa"/>
            <w:tcBorders>
              <w:top w:val="nil"/>
              <w:left w:val="single" w:sz="4" w:space="0" w:color="auto"/>
              <w:bottom w:val="single" w:sz="4" w:space="0" w:color="auto"/>
              <w:right w:val="single" w:sz="4" w:space="0" w:color="auto"/>
            </w:tcBorders>
            <w:shd w:val="clear" w:color="auto" w:fill="auto"/>
            <w:noWrap/>
            <w:vAlign w:val="center"/>
          </w:tcPr>
          <w:p w14:paraId="703D8A5B" w14:textId="4F9BBB16" w:rsidR="00867B5A" w:rsidRPr="00867B5A" w:rsidRDefault="00867B5A" w:rsidP="00797E95">
            <w:pPr>
              <w:jc w:val="center"/>
              <w:rPr>
                <w:rFonts w:eastAsia="Times New Roman"/>
                <w:b/>
                <w:bCs/>
                <w:color w:val="000000"/>
                <w:sz w:val="18"/>
                <w:szCs w:val="18"/>
                <w:lang w:eastAsia="es-CO"/>
              </w:rPr>
            </w:pPr>
            <w:r w:rsidRPr="00867B5A">
              <w:rPr>
                <w:rFonts w:eastAsia="Times New Roman"/>
                <w:b/>
                <w:bCs/>
                <w:color w:val="000000"/>
                <w:sz w:val="18"/>
                <w:szCs w:val="18"/>
                <w:lang w:eastAsia="es-CO"/>
              </w:rPr>
              <w:lastRenderedPageBreak/>
              <w:t>PASTO</w:t>
            </w:r>
          </w:p>
        </w:tc>
        <w:tc>
          <w:tcPr>
            <w:tcW w:w="2182" w:type="dxa"/>
            <w:tcBorders>
              <w:top w:val="nil"/>
              <w:left w:val="nil"/>
              <w:bottom w:val="single" w:sz="4" w:space="0" w:color="auto"/>
              <w:right w:val="single" w:sz="4" w:space="0" w:color="auto"/>
            </w:tcBorders>
            <w:shd w:val="clear" w:color="auto" w:fill="auto"/>
            <w:vAlign w:val="center"/>
          </w:tcPr>
          <w:p w14:paraId="03F1AB31" w14:textId="77777777" w:rsidR="00867B5A" w:rsidRPr="00867B5A" w:rsidRDefault="00867B5A" w:rsidP="00797E95">
            <w:pPr>
              <w:jc w:val="both"/>
              <w:rPr>
                <w:rFonts w:eastAsia="Times New Roman"/>
                <w:color w:val="000000"/>
                <w:sz w:val="18"/>
                <w:szCs w:val="18"/>
                <w:lang w:eastAsia="es-CO"/>
              </w:rPr>
            </w:pPr>
            <w:r w:rsidRPr="00867B5A">
              <w:rPr>
                <w:rFonts w:eastAsia="Times New Roman"/>
                <w:color w:val="000000"/>
                <w:sz w:val="18"/>
                <w:szCs w:val="18"/>
                <w:lang w:eastAsia="es-CO"/>
              </w:rPr>
              <w:t>Institución Educativa de Pasto denuncia irregularidades con la calidad de leche entregada por el operador PAE. Empaques con presencia de larvas.</w:t>
            </w:r>
          </w:p>
        </w:tc>
        <w:tc>
          <w:tcPr>
            <w:tcW w:w="1025" w:type="dxa"/>
            <w:tcBorders>
              <w:top w:val="nil"/>
              <w:left w:val="nil"/>
              <w:bottom w:val="single" w:sz="4" w:space="0" w:color="auto"/>
              <w:right w:val="single" w:sz="4" w:space="0" w:color="auto"/>
            </w:tcBorders>
            <w:shd w:val="clear" w:color="auto" w:fill="auto"/>
            <w:vAlign w:val="center"/>
          </w:tcPr>
          <w:p w14:paraId="69411A17" w14:textId="77777777" w:rsidR="00867B5A" w:rsidRPr="00867B5A" w:rsidRDefault="00867B5A" w:rsidP="00797E95">
            <w:pPr>
              <w:jc w:val="center"/>
              <w:rPr>
                <w:rFonts w:eastAsia="Times New Roman"/>
                <w:color w:val="000000"/>
                <w:sz w:val="18"/>
                <w:szCs w:val="18"/>
                <w:lang w:eastAsia="es-CO"/>
              </w:rPr>
            </w:pPr>
            <w:r w:rsidRPr="00867B5A">
              <w:rPr>
                <w:rFonts w:eastAsia="Times New Roman"/>
                <w:color w:val="000000"/>
                <w:sz w:val="18"/>
                <w:szCs w:val="18"/>
                <w:lang w:eastAsia="es-CO"/>
              </w:rPr>
              <w:t>01/04/2022</w:t>
            </w:r>
          </w:p>
        </w:tc>
        <w:tc>
          <w:tcPr>
            <w:tcW w:w="6075" w:type="dxa"/>
            <w:tcBorders>
              <w:top w:val="nil"/>
              <w:left w:val="nil"/>
              <w:bottom w:val="single" w:sz="4" w:space="0" w:color="auto"/>
              <w:right w:val="single" w:sz="4" w:space="0" w:color="auto"/>
            </w:tcBorders>
            <w:shd w:val="clear" w:color="auto" w:fill="auto"/>
            <w:vAlign w:val="center"/>
          </w:tcPr>
          <w:p w14:paraId="0192D367" w14:textId="77777777" w:rsidR="00867B5A" w:rsidRPr="00867B5A" w:rsidRDefault="00867B5A" w:rsidP="00797E95">
            <w:pPr>
              <w:jc w:val="both"/>
              <w:rPr>
                <w:rFonts w:eastAsia="Times New Roman"/>
                <w:color w:val="000000"/>
                <w:sz w:val="18"/>
                <w:szCs w:val="18"/>
                <w:lang w:eastAsia="es-CO"/>
              </w:rPr>
            </w:pPr>
            <w:r w:rsidRPr="00867B5A">
              <w:rPr>
                <w:rFonts w:eastAsia="Times New Roman"/>
                <w:color w:val="000000"/>
                <w:sz w:val="18"/>
                <w:szCs w:val="18"/>
                <w:lang w:eastAsia="es-CO"/>
              </w:rPr>
              <w:t>En medios de comunicación docentes de la institución educativa denuncian la entrega de "30 bolsas de leche en cuyo empaque se observaba la presencia de larvas y unos residuos blanco-amarillentos” correspondiente a la entrega del día 31 de marzo de 2022.</w:t>
            </w:r>
          </w:p>
          <w:p w14:paraId="78C4D13C" w14:textId="77777777" w:rsidR="00867B5A" w:rsidRPr="00867B5A" w:rsidRDefault="00867B5A" w:rsidP="00797E95">
            <w:pPr>
              <w:jc w:val="both"/>
              <w:rPr>
                <w:rFonts w:eastAsia="Times New Roman"/>
                <w:color w:val="000000"/>
                <w:sz w:val="18"/>
                <w:szCs w:val="18"/>
                <w:lang w:eastAsia="es-CO"/>
              </w:rPr>
            </w:pPr>
            <w:r w:rsidRPr="00867B5A">
              <w:rPr>
                <w:rFonts w:eastAsia="Times New Roman"/>
                <w:b/>
                <w:bCs/>
                <w:color w:val="000000"/>
                <w:sz w:val="18"/>
                <w:szCs w:val="18"/>
                <w:lang w:eastAsia="es-CO"/>
              </w:rPr>
              <w:br/>
              <w:t>Seguimiento UApA:</w:t>
            </w:r>
            <w:r w:rsidRPr="00867B5A">
              <w:rPr>
                <w:rFonts w:eastAsia="Times New Roman"/>
                <w:color w:val="000000"/>
                <w:sz w:val="18"/>
                <w:szCs w:val="18"/>
                <w:lang w:eastAsia="es-CO"/>
              </w:rPr>
              <w:t xml:space="preserve"> La ETC informa que realizó visita prioritaria a la institución educativa en conjunto con la Secretaría de Salud, se realizó recolección y clasificación de todas las leches no entregadas por el PAE de la marca San Fernando de dos lotes diferentes; se tomó muestra para los análisis de laboratorio correspondientes, pendiente resultados.</w:t>
            </w:r>
          </w:p>
        </w:tc>
      </w:tr>
    </w:tbl>
    <w:p w14:paraId="3B7CB612" w14:textId="3A61B492" w:rsidR="00867B5A" w:rsidRDefault="00867B5A" w:rsidP="002D28FB">
      <w:pPr>
        <w:ind w:left="-709"/>
        <w:rPr>
          <w:sz w:val="20"/>
          <w:szCs w:val="20"/>
        </w:rPr>
      </w:pPr>
    </w:p>
    <w:p w14:paraId="2A2DE617" w14:textId="5F2988D8" w:rsidR="00686EA4" w:rsidRPr="0077425C" w:rsidRDefault="00686EA4" w:rsidP="007541DA">
      <w:pPr>
        <w:ind w:left="-709"/>
        <w:jc w:val="both"/>
        <w:rPr>
          <w:b/>
          <w:bCs/>
        </w:rPr>
      </w:pPr>
      <w:r w:rsidRPr="0077425C">
        <w:rPr>
          <w:b/>
          <w:bCs/>
          <w:color w:val="1F3864" w:themeColor="accent5" w:themeShade="80"/>
        </w:rPr>
        <w:t>ACCIONES QUE LA UApA DESARROLLA EN EL MARCO DE LAS COMPETENCIAS Y QUE CONTRIBUYEN AL FORTALECIMIENTO DEL PAE EN TERRITORIO</w:t>
      </w:r>
      <w:r w:rsidRPr="0077425C">
        <w:rPr>
          <w:b/>
          <w:bCs/>
        </w:rPr>
        <w:t>:</w:t>
      </w:r>
    </w:p>
    <w:p w14:paraId="54E8C874" w14:textId="77777777" w:rsidR="00CD3491" w:rsidRPr="002366A2" w:rsidRDefault="00CD3491" w:rsidP="00DD3EC4">
      <w:pPr>
        <w:ind w:left="-709" w:firstLine="709"/>
        <w:jc w:val="both"/>
        <w:rPr>
          <w:b/>
          <w:bCs/>
          <w:sz w:val="12"/>
          <w:szCs w:val="12"/>
        </w:rPr>
      </w:pPr>
    </w:p>
    <w:p w14:paraId="59EFC6A4" w14:textId="77777777" w:rsidR="004A76F7" w:rsidRDefault="00221760" w:rsidP="004A76F7">
      <w:pPr>
        <w:pStyle w:val="Prrafodelista"/>
        <w:numPr>
          <w:ilvl w:val="0"/>
          <w:numId w:val="1"/>
        </w:numPr>
        <w:spacing w:after="0" w:line="240" w:lineRule="auto"/>
        <w:ind w:left="-426"/>
        <w:jc w:val="both"/>
      </w:pPr>
      <w:r w:rsidRPr="0077425C">
        <w:rPr>
          <w:b/>
          <w:bCs/>
        </w:rPr>
        <w:t>ACOMPAÑAMIENTO TERRITORIAL</w:t>
      </w:r>
      <w:r w:rsidR="00686EA4" w:rsidRPr="0077425C">
        <w:rPr>
          <w:b/>
          <w:bCs/>
        </w:rPr>
        <w:t>:</w:t>
      </w:r>
      <w:r w:rsidR="00686EA4" w:rsidRPr="0077425C">
        <w:t xml:space="preserve"> la Subdirección de Fortalecimiento ha realizado acciones de acompañamiento en territorio y la verificación de las condiciones de operación, así como</w:t>
      </w:r>
      <w:r w:rsidR="00E648D2">
        <w:t>,</w:t>
      </w:r>
      <w:r w:rsidR="00686EA4" w:rsidRPr="0077425C">
        <w:t xml:space="preserve"> mesas de trabajo con los equipos de las ETC </w:t>
      </w:r>
      <w:r w:rsidR="00E648D2">
        <w:t xml:space="preserve">con el fin de establecer </w:t>
      </w:r>
      <w:r w:rsidR="001B79E5" w:rsidRPr="0077425C">
        <w:t>acciones</w:t>
      </w:r>
      <w:r w:rsidR="00686EA4" w:rsidRPr="0077425C">
        <w:t xml:space="preserve"> que permitan garantizar la adecuada implementación del PAE en</w:t>
      </w:r>
      <w:r w:rsidR="001B79E5" w:rsidRPr="0077425C">
        <w:t xml:space="preserve"> </w:t>
      </w:r>
      <w:r w:rsidR="00D1095D">
        <w:t>30</w:t>
      </w:r>
      <w:r w:rsidR="001B79E5" w:rsidRPr="0077425C">
        <w:t xml:space="preserve"> </w:t>
      </w:r>
      <w:r w:rsidR="00686EA4" w:rsidRPr="0077425C">
        <w:t>ETC</w:t>
      </w:r>
      <w:r w:rsidR="00364929" w:rsidRPr="0077425C">
        <w:t>.</w:t>
      </w:r>
    </w:p>
    <w:p w14:paraId="6AA38C38" w14:textId="5EA4726B" w:rsidR="004A76F7" w:rsidRPr="004A76F7" w:rsidRDefault="004A76F7" w:rsidP="004A76F7">
      <w:pPr>
        <w:pStyle w:val="Prrafodelista"/>
        <w:spacing w:after="0" w:line="240" w:lineRule="auto"/>
        <w:ind w:left="-426"/>
        <w:jc w:val="both"/>
      </w:pPr>
    </w:p>
    <w:p w14:paraId="0B2DDAFF" w14:textId="77777777" w:rsidR="004A76F7" w:rsidRDefault="004A76F7" w:rsidP="004A76F7">
      <w:pPr>
        <w:ind w:left="-426"/>
        <w:jc w:val="both"/>
        <w:rPr>
          <w:rFonts w:asciiTheme="minorHAnsi" w:hAnsiTheme="minorHAnsi" w:cstheme="minorHAnsi"/>
        </w:rPr>
      </w:pPr>
      <w:r w:rsidRPr="00870B76">
        <w:rPr>
          <w:rFonts w:asciiTheme="minorHAnsi" w:hAnsiTheme="minorHAnsi" w:cstheme="minorHAnsi"/>
        </w:rPr>
        <w:t>Desde la SACI se realizaron 2 jornadas virtuales de cualificación técnica para las ETC de</w:t>
      </w:r>
      <w:r>
        <w:rPr>
          <w:rFonts w:asciiTheme="minorHAnsi" w:hAnsiTheme="minorHAnsi" w:cstheme="minorHAnsi"/>
        </w:rPr>
        <w:t xml:space="preserve"> </w:t>
      </w:r>
      <w:r w:rsidRPr="00870B76">
        <w:rPr>
          <w:rFonts w:asciiTheme="minorHAnsi" w:hAnsiTheme="minorHAnsi" w:cstheme="minorHAnsi"/>
        </w:rPr>
        <w:t xml:space="preserve">Yopal y Bello, espacios en los cuales se </w:t>
      </w:r>
      <w:r w:rsidRPr="00870B76">
        <w:rPr>
          <w:rFonts w:asciiTheme="minorHAnsi" w:hAnsiTheme="minorHAnsi" w:cstheme="minorHAnsi"/>
        </w:rPr>
        <w:t>di</w:t>
      </w:r>
      <w:r>
        <w:rPr>
          <w:rFonts w:asciiTheme="minorHAnsi" w:hAnsiTheme="minorHAnsi" w:cstheme="minorHAnsi"/>
        </w:rPr>
        <w:t>o</w:t>
      </w:r>
      <w:r w:rsidRPr="00870B76">
        <w:rPr>
          <w:rFonts w:asciiTheme="minorHAnsi" w:hAnsiTheme="minorHAnsi" w:cstheme="minorHAnsi"/>
        </w:rPr>
        <w:t xml:space="preserve"> claridad frente a la Ruta estándar para la estimación de costos del PAE 2022 en el marco de la Resolución 335 de 2021 y normatividad vigente en este tema.</w:t>
      </w:r>
    </w:p>
    <w:p w14:paraId="52D3CF7B" w14:textId="77777777" w:rsidR="004A76F7" w:rsidRDefault="004A76F7" w:rsidP="004A76F7">
      <w:pPr>
        <w:ind w:left="-426"/>
        <w:jc w:val="both"/>
        <w:rPr>
          <w:rFonts w:asciiTheme="minorHAnsi" w:hAnsiTheme="minorHAnsi" w:cstheme="minorHAnsi"/>
        </w:rPr>
      </w:pPr>
    </w:p>
    <w:p w14:paraId="190E5920" w14:textId="0EEAC277" w:rsidR="004A76F7" w:rsidRPr="004A76F7" w:rsidRDefault="004A76F7" w:rsidP="004A76F7">
      <w:pPr>
        <w:pStyle w:val="Prrafodelista"/>
        <w:numPr>
          <w:ilvl w:val="0"/>
          <w:numId w:val="1"/>
        </w:numPr>
        <w:ind w:left="-426"/>
        <w:jc w:val="both"/>
        <w:rPr>
          <w:rFonts w:cstheme="minorHAnsi"/>
        </w:rPr>
      </w:pPr>
      <w:r w:rsidRPr="004A76F7">
        <w:rPr>
          <w:rFonts w:cstheme="minorHAnsi"/>
          <w:b/>
          <w:bCs/>
          <w:color w:val="000000" w:themeColor="text1"/>
          <w:lang w:val="es-ES"/>
        </w:rPr>
        <w:t>PROYECTOS FINANCIADOS CON RECURSOS DEL SISTEMA GENERAL DE REGALÍAS</w:t>
      </w:r>
      <w:r w:rsidRPr="004A76F7">
        <w:rPr>
          <w:rFonts w:cstheme="minorHAnsi"/>
          <w:b/>
          <w:bCs/>
          <w:color w:val="000000" w:themeColor="text1"/>
          <w:lang w:val="es-ES"/>
        </w:rPr>
        <w:t xml:space="preserve">: </w:t>
      </w:r>
      <w:r w:rsidRPr="004A76F7">
        <w:rPr>
          <w:rFonts w:cstheme="minorHAnsi"/>
        </w:rPr>
        <w:t xml:space="preserve">El 04 de abril se realizó mesa técnica </w:t>
      </w:r>
      <w:r w:rsidRPr="004A76F7">
        <w:rPr>
          <w:rFonts w:cstheme="minorHAnsi"/>
          <w:color w:val="000000"/>
        </w:rPr>
        <w:t>en la que participó el MEN, la UApA y la ETC Cundinamarca con el fin de revisar los ajustes solicitados en el concepto técnico 1 del proyecto de alimentación escolar para ser financiado con recursos del Sistema General de Regalías denominado “</w:t>
      </w:r>
      <w:r w:rsidRPr="004A76F7">
        <w:rPr>
          <w:rFonts w:cstheme="minorHAnsi"/>
          <w:i/>
          <w:iCs/>
          <w:color w:val="000000"/>
        </w:rPr>
        <w:t>Fortalecimiento a la Estrategia de Alimentación Escolar, en los municipios no certificados del Departamento de Cundinamarca, para la vigencia 2022” </w:t>
      </w:r>
      <w:r w:rsidRPr="004A76F7">
        <w:rPr>
          <w:rFonts w:cstheme="minorHAnsi"/>
          <w:color w:val="000000"/>
        </w:rPr>
        <w:t xml:space="preserve">con código BPIN 2022000050007 </w:t>
      </w:r>
      <w:r w:rsidRPr="004A76F7">
        <w:rPr>
          <w:rFonts w:cstheme="minorHAnsi"/>
          <w:b/>
          <w:bCs/>
          <w:color w:val="000000" w:themeColor="text1"/>
          <w:lang w:val="es-ES"/>
        </w:rPr>
        <w:t xml:space="preserve">; </w:t>
      </w:r>
      <w:r w:rsidRPr="004A76F7">
        <w:rPr>
          <w:rFonts w:cstheme="minorHAnsi"/>
        </w:rPr>
        <w:t>por parte de la UApA se dieron las claridades en la presentación de las minutas patrón que deben incluirse en el documento técnico del proyecto en el marco de la Resolución 335 de 2021; así como otros aspectos a tener en cuenta en el marco de la normatividad vigente para la operación del PAE. Finalmente, la ETC realizará la radicación correspondiente para la revisión y emisión del segundo concepto del proyecto, teniendo en cuenta los ajustes solicitados.</w:t>
      </w:r>
    </w:p>
    <w:p w14:paraId="4413B085" w14:textId="6905A4EF" w:rsidR="00686EA4" w:rsidRPr="0077425C" w:rsidRDefault="00686EA4" w:rsidP="00B752B1">
      <w:pPr>
        <w:ind w:left="-709"/>
        <w:jc w:val="both"/>
        <w:rPr>
          <w:rStyle w:val="Hipervnculo"/>
        </w:rPr>
      </w:pPr>
      <w:r w:rsidRPr="0077425C">
        <w:rPr>
          <w:b/>
          <w:bCs/>
          <w:color w:val="1F3864" w:themeColor="accent5" w:themeShade="80"/>
        </w:rPr>
        <w:t>FUNDAMENTO NORMATIVO</w:t>
      </w:r>
      <w:r w:rsidRPr="0077425C">
        <w:rPr>
          <w:b/>
          <w:bCs/>
        </w:rPr>
        <w:t>:</w:t>
      </w:r>
      <w:r w:rsidR="007B2417" w:rsidRPr="0077425C">
        <w:rPr>
          <w:b/>
          <w:bCs/>
        </w:rPr>
        <w:t xml:space="preserve"> </w:t>
      </w:r>
      <w:hyperlink r:id="rId15" w:history="1">
        <w:r w:rsidRPr="0077425C">
          <w:rPr>
            <w:rStyle w:val="Hipervnculo"/>
          </w:rPr>
          <w:t>Resolución 335 de 2021 y sus anexos técnicos</w:t>
        </w:r>
      </w:hyperlink>
      <w:r w:rsidRPr="0077425C">
        <w:rPr>
          <w:rStyle w:val="Hipervnculo"/>
        </w:rPr>
        <w:t xml:space="preserve"> </w:t>
      </w:r>
    </w:p>
    <w:p w14:paraId="2A5C7762" w14:textId="77777777" w:rsidR="002366A2" w:rsidRPr="002366A2" w:rsidRDefault="002366A2" w:rsidP="007B2417">
      <w:pPr>
        <w:autoSpaceDE w:val="0"/>
        <w:autoSpaceDN w:val="0"/>
        <w:adjustRightInd w:val="0"/>
        <w:ind w:left="-709" w:right="284"/>
        <w:contextualSpacing/>
        <w:rPr>
          <w:rFonts w:ascii="Arial" w:hAnsi="Arial" w:cs="Arial"/>
          <w:color w:val="000000"/>
        </w:rPr>
      </w:pPr>
    </w:p>
    <w:p w14:paraId="0EA5987D" w14:textId="03F35DA7" w:rsidR="00686EA4" w:rsidRPr="000A6C8A" w:rsidRDefault="00686EA4" w:rsidP="007B2417">
      <w:pPr>
        <w:autoSpaceDE w:val="0"/>
        <w:autoSpaceDN w:val="0"/>
        <w:adjustRightInd w:val="0"/>
        <w:ind w:left="-709" w:right="284"/>
        <w:contextualSpacing/>
        <w:rPr>
          <w:rFonts w:ascii="Arial" w:hAnsi="Arial" w:cs="Arial"/>
          <w:color w:val="000000"/>
          <w:sz w:val="16"/>
          <w:szCs w:val="16"/>
        </w:rPr>
      </w:pPr>
      <w:r w:rsidRPr="000A6C8A">
        <w:rPr>
          <w:rFonts w:ascii="Arial" w:hAnsi="Arial" w:cs="Arial"/>
          <w:color w:val="000000"/>
          <w:sz w:val="16"/>
          <w:szCs w:val="16"/>
        </w:rPr>
        <w:t xml:space="preserve">Elaboró: </w:t>
      </w:r>
      <w:r w:rsidRPr="000A6C8A">
        <w:rPr>
          <w:rFonts w:ascii="Arial" w:hAnsi="Arial" w:cs="Arial"/>
          <w:b/>
          <w:bCs/>
          <w:color w:val="000000"/>
          <w:sz w:val="16"/>
          <w:szCs w:val="16"/>
        </w:rPr>
        <w:t xml:space="preserve">Subdirección de Fortalecimiento. </w:t>
      </w:r>
      <w:r w:rsidRPr="000A6C8A">
        <w:rPr>
          <w:rFonts w:ascii="Arial" w:hAnsi="Arial" w:cs="Arial"/>
          <w:color w:val="000000"/>
          <w:sz w:val="16"/>
          <w:szCs w:val="16"/>
        </w:rPr>
        <w:t>Unidad Alimentos Para Aprender.</w:t>
      </w:r>
    </w:p>
    <w:p w14:paraId="01D7AF22" w14:textId="77777777" w:rsidR="00686EA4" w:rsidRPr="000A6C8A" w:rsidRDefault="00686EA4" w:rsidP="007B2417">
      <w:pPr>
        <w:ind w:left="-709"/>
        <w:contextualSpacing/>
        <w:rPr>
          <w:rFonts w:ascii="Arial" w:hAnsi="Arial" w:cs="Arial"/>
          <w:color w:val="000000"/>
          <w:sz w:val="16"/>
          <w:szCs w:val="16"/>
        </w:rPr>
      </w:pPr>
      <w:r w:rsidRPr="000A6C8A">
        <w:rPr>
          <w:rFonts w:ascii="Arial" w:hAnsi="Arial" w:cs="Arial"/>
          <w:color w:val="000000"/>
          <w:sz w:val="16"/>
          <w:szCs w:val="16"/>
        </w:rPr>
        <w:t>Revisó</w:t>
      </w:r>
      <w:r w:rsidRPr="000A6C8A">
        <w:rPr>
          <w:rFonts w:ascii="Arial" w:hAnsi="Arial" w:cs="Arial"/>
          <w:b/>
          <w:bCs/>
          <w:color w:val="000000"/>
          <w:sz w:val="16"/>
          <w:szCs w:val="16"/>
        </w:rPr>
        <w:t>:   Martha Liliana Huertas</w:t>
      </w:r>
      <w:r w:rsidRPr="000A6C8A">
        <w:rPr>
          <w:rFonts w:ascii="Arial" w:hAnsi="Arial" w:cs="Arial"/>
          <w:color w:val="000000"/>
          <w:sz w:val="16"/>
          <w:szCs w:val="16"/>
        </w:rPr>
        <w:t>. Subdirectora de Fortalecimiento - Unidad Alimentos Para Aprender.</w:t>
      </w:r>
    </w:p>
    <w:p w14:paraId="4A6655E9" w14:textId="77777777" w:rsidR="00686EA4" w:rsidRPr="000A6C8A" w:rsidRDefault="00686EA4" w:rsidP="007B2417">
      <w:pPr>
        <w:ind w:left="-709"/>
        <w:contextualSpacing/>
        <w:rPr>
          <w:rFonts w:ascii="Arial" w:hAnsi="Arial" w:cs="Arial"/>
          <w:color w:val="000000"/>
          <w:sz w:val="16"/>
          <w:szCs w:val="16"/>
        </w:rPr>
      </w:pPr>
      <w:r w:rsidRPr="000A6C8A">
        <w:rPr>
          <w:rFonts w:ascii="Arial" w:hAnsi="Arial" w:cs="Arial"/>
          <w:sz w:val="16"/>
          <w:szCs w:val="16"/>
        </w:rPr>
        <w:t xml:space="preserve">Revisó:   </w:t>
      </w:r>
      <w:r w:rsidRPr="000A6C8A">
        <w:rPr>
          <w:rFonts w:ascii="Arial" w:hAnsi="Arial" w:cs="Arial"/>
          <w:b/>
          <w:bCs/>
          <w:sz w:val="16"/>
          <w:szCs w:val="16"/>
        </w:rPr>
        <w:t xml:space="preserve">Juan David Vélez Bolívar.      </w:t>
      </w:r>
      <w:r w:rsidRPr="000A6C8A">
        <w:rPr>
          <w:rFonts w:ascii="Arial" w:hAnsi="Arial" w:cs="Arial"/>
          <w:color w:val="000000"/>
          <w:sz w:val="16"/>
          <w:szCs w:val="16"/>
        </w:rPr>
        <w:t xml:space="preserve">Subdirector General Unidad Alimentos Para Aprender. </w:t>
      </w:r>
    </w:p>
    <w:p w14:paraId="185FCA9C" w14:textId="6EE0DEC7" w:rsidR="007A10BB" w:rsidRPr="000A6C8A" w:rsidRDefault="00686EA4" w:rsidP="007B2417">
      <w:pPr>
        <w:ind w:left="-709" w:right="284"/>
        <w:contextualSpacing/>
        <w:jc w:val="both"/>
      </w:pPr>
      <w:r w:rsidRPr="000A6C8A">
        <w:rPr>
          <w:rFonts w:ascii="Arial" w:hAnsi="Arial" w:cs="Arial"/>
          <w:color w:val="000000"/>
          <w:sz w:val="16"/>
          <w:szCs w:val="16"/>
        </w:rPr>
        <w:t xml:space="preserve">Aprobó:  </w:t>
      </w:r>
      <w:r w:rsidRPr="000A6C8A">
        <w:rPr>
          <w:rFonts w:ascii="Arial" w:hAnsi="Arial" w:cs="Arial"/>
          <w:b/>
          <w:bCs/>
          <w:color w:val="000000"/>
          <w:sz w:val="16"/>
          <w:szCs w:val="16"/>
        </w:rPr>
        <w:t xml:space="preserve">Juan Carlos Martínez Martín. </w:t>
      </w:r>
      <w:r w:rsidRPr="000A6C8A">
        <w:rPr>
          <w:rFonts w:ascii="Arial" w:hAnsi="Arial" w:cs="Arial"/>
          <w:color w:val="000000"/>
          <w:sz w:val="16"/>
          <w:szCs w:val="16"/>
        </w:rPr>
        <w:t>Director General Unidad Alimentos Para Aprender.</w:t>
      </w:r>
    </w:p>
    <w:sectPr w:rsidR="007A10BB" w:rsidRPr="000A6C8A" w:rsidSect="009B2B54">
      <w:headerReference w:type="default" r:id="rId16"/>
      <w:footerReference w:type="default" r:id="rId17"/>
      <w:pgSz w:w="12240" w:h="15840"/>
      <w:pgMar w:top="1701" w:right="900" w:bottom="1701" w:left="1701" w:header="709" w:footer="709" w:gutter="0"/>
      <w:pgBorders w:offsetFrom="page">
        <w:top w:val="single" w:sz="2" w:space="24" w:color="808080" w:themeColor="background1" w:themeShade="80"/>
        <w:left w:val="single" w:sz="2" w:space="24" w:color="808080" w:themeColor="background1" w:themeShade="80"/>
        <w:bottom w:val="single" w:sz="2" w:space="24" w:color="808080" w:themeColor="background1" w:themeShade="80"/>
        <w:right w:val="single" w:sz="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E91E" w14:textId="77777777" w:rsidR="00236885" w:rsidRDefault="00236885" w:rsidP="003D3E44">
      <w:r>
        <w:separator/>
      </w:r>
    </w:p>
  </w:endnote>
  <w:endnote w:type="continuationSeparator" w:id="0">
    <w:p w14:paraId="4D90106F" w14:textId="77777777" w:rsidR="00236885" w:rsidRDefault="00236885" w:rsidP="003D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4932" w14:textId="77777777" w:rsidR="003D3E44" w:rsidRDefault="003D3E44" w:rsidP="003D3E44">
    <w:pPr>
      <w:jc w:val="center"/>
      <w:rPr>
        <w:rFonts w:ascii="Helvetica" w:eastAsia="Times New Roman" w:hAnsi="Helvetica" w:cs="Arial"/>
        <w:b/>
        <w:bCs/>
        <w:color w:val="333333"/>
        <w:sz w:val="16"/>
        <w:szCs w:val="19"/>
        <w:shd w:val="clear" w:color="auto" w:fill="FFFFFF"/>
        <w:lang w:val="es-ES_tradnl" w:eastAsia="es-ES"/>
      </w:rPr>
    </w:pPr>
  </w:p>
  <w:p w14:paraId="2DF9D80F" w14:textId="77777777" w:rsidR="003D3E44" w:rsidRDefault="003D3E44" w:rsidP="003D3E44">
    <w:pPr>
      <w:jc w:val="center"/>
      <w:rPr>
        <w:rFonts w:ascii="Helvetica" w:eastAsia="Times New Roman" w:hAnsi="Helvetica" w:cs="Arial"/>
        <w:b/>
        <w:bCs/>
        <w:color w:val="333333"/>
        <w:sz w:val="16"/>
        <w:szCs w:val="19"/>
        <w:shd w:val="clear" w:color="auto" w:fill="FFFFFF"/>
        <w:lang w:val="es-ES_tradnl" w:eastAsia="es-ES"/>
      </w:rPr>
    </w:pPr>
  </w:p>
  <w:p w14:paraId="06BEBEA9" w14:textId="77777777" w:rsidR="002928E9" w:rsidRPr="00863315" w:rsidRDefault="002928E9" w:rsidP="002928E9">
    <w:pPr>
      <w:jc w:val="center"/>
      <w:rPr>
        <w:rFonts w:ascii="Arial" w:hAnsi="Arial" w:cs="Arial"/>
        <w:b/>
        <w:color w:val="1F3864" w:themeColor="accent5" w:themeShade="80"/>
        <w:sz w:val="14"/>
        <w:szCs w:val="14"/>
      </w:rPr>
    </w:pPr>
    <w:r w:rsidRPr="00863315">
      <w:rPr>
        <w:rFonts w:ascii="Arial" w:hAnsi="Arial" w:cs="Arial"/>
        <w:b/>
        <w:noProof/>
        <w:color w:val="1F3864" w:themeColor="accent5" w:themeShade="80"/>
        <w:sz w:val="14"/>
        <w:szCs w:val="14"/>
        <w:lang w:val="en-US"/>
      </w:rPr>
      <mc:AlternateContent>
        <mc:Choice Requires="wps">
          <w:drawing>
            <wp:anchor distT="0" distB="0" distL="114300" distR="114300" simplePos="0" relativeHeight="251661312" behindDoc="0" locked="0" layoutInCell="1" allowOverlap="1" wp14:anchorId="68DA413E" wp14:editId="1805C75C">
              <wp:simplePos x="0" y="0"/>
              <wp:positionH relativeFrom="column">
                <wp:posOffset>691515</wp:posOffset>
              </wp:positionH>
              <wp:positionV relativeFrom="paragraph">
                <wp:posOffset>84455</wp:posOffset>
              </wp:positionV>
              <wp:extent cx="4191000" cy="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419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E8089"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6.65pt" to="384.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eS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" strokecolor="black [3200]" strokeweight=".5pt">
              <v:stroke joinstyle="miter"/>
            </v:line>
          </w:pict>
        </mc:Fallback>
      </mc:AlternateContent>
    </w:r>
  </w:p>
  <w:p w14:paraId="5EA511AA" w14:textId="77777777" w:rsidR="002928E9" w:rsidRPr="002F2CA4" w:rsidRDefault="002928E9" w:rsidP="002928E9">
    <w:pPr>
      <w:jc w:val="center"/>
      <w:rPr>
        <w:rFonts w:ascii="Arial" w:hAnsi="Arial" w:cs="Arial"/>
        <w:b/>
        <w:sz w:val="14"/>
        <w:szCs w:val="14"/>
      </w:rPr>
    </w:pPr>
    <w:r w:rsidRPr="002F2CA4">
      <w:rPr>
        <w:rFonts w:ascii="Arial" w:hAnsi="Arial" w:cs="Arial"/>
        <w:b/>
        <w:sz w:val="14"/>
        <w:szCs w:val="14"/>
      </w:rPr>
      <w:t>UNIDAD ADMINISTRATIVA ESPECIAL DE ALIMENTACIÓN ESCOLAR</w:t>
    </w:r>
  </w:p>
  <w:p w14:paraId="7DA39067" w14:textId="77777777" w:rsidR="002928E9" w:rsidRPr="002C7A4F" w:rsidRDefault="002928E9" w:rsidP="002928E9">
    <w:pPr>
      <w:jc w:val="center"/>
      <w:rPr>
        <w:rFonts w:ascii="Arial" w:hAnsi="Arial" w:cs="Arial"/>
        <w:b/>
        <w:sz w:val="14"/>
        <w:szCs w:val="14"/>
      </w:rPr>
    </w:pPr>
    <w:r w:rsidRPr="00167C15">
      <w:rPr>
        <w:rFonts w:ascii="Arial" w:hAnsi="Arial" w:cs="Arial"/>
        <w:sz w:val="14"/>
        <w:szCs w:val="14"/>
      </w:rPr>
      <w:t>Calle 24 N</w:t>
    </w:r>
    <w:r>
      <w:rPr>
        <w:rFonts w:ascii="Arial" w:hAnsi="Arial" w:cs="Arial"/>
        <w:sz w:val="14"/>
        <w:szCs w:val="14"/>
      </w:rPr>
      <w:t>°</w:t>
    </w:r>
    <w:r w:rsidRPr="00167C15">
      <w:rPr>
        <w:rFonts w:ascii="Arial" w:hAnsi="Arial" w:cs="Arial"/>
        <w:sz w:val="14"/>
        <w:szCs w:val="14"/>
      </w:rPr>
      <w:t xml:space="preserve"> 7 - 43 Piso 15 </w:t>
    </w:r>
    <w:r w:rsidRPr="002C7A4F">
      <w:rPr>
        <w:rFonts w:ascii="Arial" w:hAnsi="Arial" w:cs="Arial"/>
        <w:sz w:val="14"/>
        <w:szCs w:val="14"/>
      </w:rPr>
      <w:t>Edificio 7/24, Bogotá D.C</w:t>
    </w:r>
  </w:p>
  <w:p w14:paraId="06E7C3F8" w14:textId="77777777" w:rsidR="002928E9" w:rsidRPr="002C7A4F" w:rsidRDefault="002928E9" w:rsidP="002928E9">
    <w:pPr>
      <w:jc w:val="center"/>
      <w:rPr>
        <w:rFonts w:ascii="Arial" w:hAnsi="Arial" w:cs="Arial"/>
        <w:b/>
        <w:sz w:val="14"/>
        <w:szCs w:val="14"/>
      </w:rPr>
    </w:pPr>
    <w:r w:rsidRPr="002C7A4F">
      <w:rPr>
        <w:rFonts w:ascii="Arial" w:hAnsi="Arial" w:cs="Arial"/>
        <w:sz w:val="14"/>
        <w:szCs w:val="14"/>
      </w:rPr>
      <w:t xml:space="preserve">Línea Bogotá </w:t>
    </w:r>
    <w:r w:rsidRPr="007A092C">
      <w:rPr>
        <w:rFonts w:ascii="Arial" w:hAnsi="Arial" w:cs="Arial"/>
        <w:sz w:val="14"/>
        <w:szCs w:val="14"/>
        <w:shd w:val="clear" w:color="auto" w:fill="FFFFFF"/>
      </w:rPr>
      <w:t>+57601 4414222</w:t>
    </w:r>
  </w:p>
  <w:p w14:paraId="514C8A29" w14:textId="0E702CF9" w:rsidR="00863315" w:rsidRPr="008B3E5B" w:rsidRDefault="00236885" w:rsidP="00863315">
    <w:pPr>
      <w:jc w:val="center"/>
      <w:rPr>
        <w:rFonts w:ascii="Arial" w:hAnsi="Arial" w:cs="Arial"/>
        <w:sz w:val="14"/>
        <w:szCs w:val="14"/>
      </w:rPr>
    </w:pPr>
    <w:hyperlink w:history="1">
      <w:r w:rsidR="002928E9" w:rsidRPr="00D47414">
        <w:rPr>
          <w:rStyle w:val="Hipervnculo"/>
          <w:rFonts w:ascii="Arial" w:hAnsi="Arial" w:cs="Arial"/>
          <w:sz w:val="14"/>
          <w:szCs w:val="14"/>
        </w:rPr>
        <w:t>www.alimentosparaaprender.gov.co /</w:t>
      </w:r>
    </w:hyperlink>
    <w:r w:rsidR="002928E9">
      <w:rPr>
        <w:rFonts w:ascii="Arial" w:hAnsi="Arial" w:cs="Arial"/>
        <w:sz w:val="14"/>
        <w:szCs w:val="14"/>
      </w:rPr>
      <w:t xml:space="preserve"> </w:t>
    </w:r>
    <w:hyperlink r:id="rId1" w:history="1">
      <w:r w:rsidR="002928E9" w:rsidRPr="002F2CA4">
        <w:rPr>
          <w:rFonts w:ascii="Arial" w:hAnsi="Arial" w:cs="Arial"/>
          <w:sz w:val="14"/>
          <w:szCs w:val="14"/>
        </w:rPr>
        <w:t>atencion@alimentosparaaprender.gov.co</w:t>
      </w:r>
    </w:hyperlink>
  </w:p>
  <w:p w14:paraId="34659D29" w14:textId="45D13A84" w:rsidR="003D3E44" w:rsidRPr="00F50E51" w:rsidRDefault="003D3E44" w:rsidP="002928E9">
    <w:pPr>
      <w:jc w:val="center"/>
      <w:rPr>
        <w:rFonts w:ascii="Arial" w:eastAsia="Times New Roman" w:hAnsi="Arial" w:cs="Arial"/>
        <w:sz w:val="16"/>
        <w:szCs w:val="16"/>
        <w:lang w:eastAsia="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F483" w14:textId="77777777" w:rsidR="00236885" w:rsidRDefault="00236885" w:rsidP="003D3E44">
      <w:r>
        <w:separator/>
      </w:r>
    </w:p>
  </w:footnote>
  <w:footnote w:type="continuationSeparator" w:id="0">
    <w:p w14:paraId="646124CE" w14:textId="77777777" w:rsidR="00236885" w:rsidRDefault="00236885" w:rsidP="003D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B227" w14:textId="1C12B287" w:rsidR="006A79A3" w:rsidRDefault="00C75A00" w:rsidP="001440F4">
    <w:pPr>
      <w:pStyle w:val="Encabezado"/>
      <w:tabs>
        <w:tab w:val="clear" w:pos="4419"/>
      </w:tabs>
      <w:jc w:val="center"/>
    </w:pPr>
    <w:r w:rsidRPr="006A79A3">
      <w:rPr>
        <w:b/>
        <w:bCs/>
        <w:noProof/>
        <w:color w:val="1F3864" w:themeColor="accent5" w:themeShade="80"/>
        <w:sz w:val="28"/>
        <w:szCs w:val="28"/>
      </w:rPr>
      <mc:AlternateContent>
        <mc:Choice Requires="wps">
          <w:drawing>
            <wp:anchor distT="45720" distB="45720" distL="114300" distR="114300" simplePos="0" relativeHeight="251665408" behindDoc="1" locked="0" layoutInCell="1" allowOverlap="1" wp14:anchorId="54669CE3" wp14:editId="0E088561">
              <wp:simplePos x="0" y="0"/>
              <wp:positionH relativeFrom="page">
                <wp:posOffset>2275205</wp:posOffset>
              </wp:positionH>
              <wp:positionV relativeFrom="paragraph">
                <wp:posOffset>147955</wp:posOffset>
              </wp:positionV>
              <wp:extent cx="3577493" cy="1404620"/>
              <wp:effectExtent l="0" t="0" r="4445" b="381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493" cy="1404620"/>
                      </a:xfrm>
                      <a:prstGeom prst="rect">
                        <a:avLst/>
                      </a:prstGeom>
                      <a:solidFill>
                        <a:srgbClr val="FFFFFF"/>
                      </a:solidFill>
                      <a:ln w="9525">
                        <a:noFill/>
                        <a:miter lim="800000"/>
                        <a:headEnd/>
                        <a:tailEnd/>
                      </a:ln>
                    </wps:spPr>
                    <wps:txbx>
                      <w:txbxContent>
                        <w:p w14:paraId="23752111" w14:textId="1EF2CA05" w:rsidR="006A79A3" w:rsidRPr="00C75A00" w:rsidRDefault="006A79A3" w:rsidP="00C75A00">
                          <w:pPr>
                            <w:jc w:val="center"/>
                            <w:rPr>
                              <w:b/>
                              <w:bCs/>
                              <w:color w:val="1F3864" w:themeColor="accent5" w:themeShade="80"/>
                              <w:sz w:val="28"/>
                              <w:szCs w:val="28"/>
                            </w:rPr>
                          </w:pPr>
                          <w:r w:rsidRPr="00C75A00">
                            <w:rPr>
                              <w:b/>
                              <w:bCs/>
                              <w:color w:val="1F3864" w:themeColor="accent5" w:themeShade="80"/>
                              <w:sz w:val="28"/>
                              <w:szCs w:val="28"/>
                            </w:rPr>
                            <w:t xml:space="preserve">INOP - INFORME </w:t>
                          </w:r>
                          <w:r w:rsidR="002C7ADE">
                            <w:rPr>
                              <w:b/>
                              <w:bCs/>
                              <w:color w:val="1F3864" w:themeColor="accent5" w:themeShade="80"/>
                              <w:sz w:val="28"/>
                              <w:szCs w:val="28"/>
                            </w:rPr>
                            <w:t>DE OPERACIÓN PAE</w:t>
                          </w:r>
                          <w:r w:rsidRPr="00C75A00">
                            <w:rPr>
                              <w:b/>
                              <w:bCs/>
                              <w:color w:val="1F3864" w:themeColor="accent5" w:themeShade="80"/>
                              <w:sz w:val="28"/>
                              <w:szCs w:val="28"/>
                            </w:rPr>
                            <w:t xml:space="preserve"> UApA</w:t>
                          </w:r>
                        </w:p>
                        <w:p w14:paraId="4F35ABC3" w14:textId="05B458D9" w:rsidR="006A79A3" w:rsidRDefault="006A79A3" w:rsidP="00C75A00">
                          <w:pPr>
                            <w:jc w:val="center"/>
                          </w:pPr>
                          <w:r w:rsidRPr="006A79A3">
                            <w:rPr>
                              <w:b/>
                              <w:bCs/>
                              <w:color w:val="1F3864" w:themeColor="accent5" w:themeShade="80"/>
                              <w:sz w:val="20"/>
                              <w:szCs w:val="20"/>
                            </w:rPr>
                            <w:t xml:space="preserve">Informe Ejecutivo </w:t>
                          </w:r>
                          <w:r>
                            <w:rPr>
                              <w:b/>
                              <w:bCs/>
                              <w:color w:val="1F3864" w:themeColor="accent5" w:themeShade="80"/>
                              <w:sz w:val="20"/>
                              <w:szCs w:val="20"/>
                            </w:rPr>
                            <w:t>S</w:t>
                          </w:r>
                          <w:r w:rsidRPr="006A79A3">
                            <w:rPr>
                              <w:b/>
                              <w:bCs/>
                              <w:color w:val="1F3864" w:themeColor="accent5" w:themeShade="80"/>
                              <w:sz w:val="20"/>
                              <w:szCs w:val="20"/>
                            </w:rPr>
                            <w:t xml:space="preserve">emanal con corte al </w:t>
                          </w:r>
                          <w:r w:rsidR="004C7EDC">
                            <w:rPr>
                              <w:b/>
                              <w:bCs/>
                              <w:color w:val="1F3864" w:themeColor="accent5" w:themeShade="80"/>
                              <w:sz w:val="20"/>
                              <w:szCs w:val="20"/>
                            </w:rPr>
                            <w:t>07</w:t>
                          </w:r>
                          <w:r w:rsidRPr="006A79A3">
                            <w:rPr>
                              <w:b/>
                              <w:bCs/>
                              <w:color w:val="1F3864" w:themeColor="accent5" w:themeShade="80"/>
                              <w:sz w:val="20"/>
                              <w:szCs w:val="20"/>
                            </w:rPr>
                            <w:t xml:space="preserve"> de </w:t>
                          </w:r>
                          <w:r w:rsidR="004C7EDC">
                            <w:rPr>
                              <w:b/>
                              <w:bCs/>
                              <w:color w:val="1F3864" w:themeColor="accent5" w:themeShade="80"/>
                              <w:sz w:val="20"/>
                              <w:szCs w:val="20"/>
                            </w:rPr>
                            <w:t xml:space="preserve">abril </w:t>
                          </w:r>
                          <w:r w:rsidRPr="006A79A3">
                            <w:rPr>
                              <w:b/>
                              <w:bCs/>
                              <w:color w:val="1F3864" w:themeColor="accent5" w:themeShade="80"/>
                              <w:sz w:val="20"/>
                              <w:szCs w:val="20"/>
                            </w:rPr>
                            <w:t>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669CE3" id="_x0000_t202" coordsize="21600,21600" o:spt="202" path="m,l,21600r21600,l21600,xe">
              <v:stroke joinstyle="miter"/>
              <v:path gradientshapeok="t" o:connecttype="rect"/>
            </v:shapetype>
            <v:shape id="Cuadro de texto 2" o:spid="_x0000_s1026" type="#_x0000_t202" style="position:absolute;left:0;text-align:left;margin-left:179.15pt;margin-top:11.65pt;width:281.7pt;height:110.6pt;z-index:-2516510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ODwIAAPc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" stroked="f">
              <v:textbox style="mso-fit-shape-to-text:t">
                <w:txbxContent>
                  <w:p w14:paraId="23752111" w14:textId="1EF2CA05" w:rsidR="006A79A3" w:rsidRPr="00C75A00" w:rsidRDefault="006A79A3" w:rsidP="00C75A00">
                    <w:pPr>
                      <w:jc w:val="center"/>
                      <w:rPr>
                        <w:b/>
                        <w:bCs/>
                        <w:color w:val="1F3864" w:themeColor="accent5" w:themeShade="80"/>
                        <w:sz w:val="28"/>
                        <w:szCs w:val="28"/>
                      </w:rPr>
                    </w:pPr>
                    <w:r w:rsidRPr="00C75A00">
                      <w:rPr>
                        <w:b/>
                        <w:bCs/>
                        <w:color w:val="1F3864" w:themeColor="accent5" w:themeShade="80"/>
                        <w:sz w:val="28"/>
                        <w:szCs w:val="28"/>
                      </w:rPr>
                      <w:t xml:space="preserve">INOP - INFORME </w:t>
                    </w:r>
                    <w:r w:rsidR="002C7ADE">
                      <w:rPr>
                        <w:b/>
                        <w:bCs/>
                        <w:color w:val="1F3864" w:themeColor="accent5" w:themeShade="80"/>
                        <w:sz w:val="28"/>
                        <w:szCs w:val="28"/>
                      </w:rPr>
                      <w:t>DE OPERACIÓN PAE</w:t>
                    </w:r>
                    <w:r w:rsidRPr="00C75A00">
                      <w:rPr>
                        <w:b/>
                        <w:bCs/>
                        <w:color w:val="1F3864" w:themeColor="accent5" w:themeShade="80"/>
                        <w:sz w:val="28"/>
                        <w:szCs w:val="28"/>
                      </w:rPr>
                      <w:t xml:space="preserve"> UApA</w:t>
                    </w:r>
                  </w:p>
                  <w:p w14:paraId="4F35ABC3" w14:textId="05B458D9" w:rsidR="006A79A3" w:rsidRDefault="006A79A3" w:rsidP="00C75A00">
                    <w:pPr>
                      <w:jc w:val="center"/>
                    </w:pPr>
                    <w:r w:rsidRPr="006A79A3">
                      <w:rPr>
                        <w:b/>
                        <w:bCs/>
                        <w:color w:val="1F3864" w:themeColor="accent5" w:themeShade="80"/>
                        <w:sz w:val="20"/>
                        <w:szCs w:val="20"/>
                      </w:rPr>
                      <w:t xml:space="preserve">Informe Ejecutivo </w:t>
                    </w:r>
                    <w:r>
                      <w:rPr>
                        <w:b/>
                        <w:bCs/>
                        <w:color w:val="1F3864" w:themeColor="accent5" w:themeShade="80"/>
                        <w:sz w:val="20"/>
                        <w:szCs w:val="20"/>
                      </w:rPr>
                      <w:t>S</w:t>
                    </w:r>
                    <w:r w:rsidRPr="006A79A3">
                      <w:rPr>
                        <w:b/>
                        <w:bCs/>
                        <w:color w:val="1F3864" w:themeColor="accent5" w:themeShade="80"/>
                        <w:sz w:val="20"/>
                        <w:szCs w:val="20"/>
                      </w:rPr>
                      <w:t xml:space="preserve">emanal con corte al </w:t>
                    </w:r>
                    <w:r w:rsidR="004C7EDC">
                      <w:rPr>
                        <w:b/>
                        <w:bCs/>
                        <w:color w:val="1F3864" w:themeColor="accent5" w:themeShade="80"/>
                        <w:sz w:val="20"/>
                        <w:szCs w:val="20"/>
                      </w:rPr>
                      <w:t>07</w:t>
                    </w:r>
                    <w:r w:rsidRPr="006A79A3">
                      <w:rPr>
                        <w:b/>
                        <w:bCs/>
                        <w:color w:val="1F3864" w:themeColor="accent5" w:themeShade="80"/>
                        <w:sz w:val="20"/>
                        <w:szCs w:val="20"/>
                      </w:rPr>
                      <w:t xml:space="preserve"> de </w:t>
                    </w:r>
                    <w:r w:rsidR="004C7EDC">
                      <w:rPr>
                        <w:b/>
                        <w:bCs/>
                        <w:color w:val="1F3864" w:themeColor="accent5" w:themeShade="80"/>
                        <w:sz w:val="20"/>
                        <w:szCs w:val="20"/>
                      </w:rPr>
                      <w:t xml:space="preserve">abril </w:t>
                    </w:r>
                    <w:r w:rsidRPr="006A79A3">
                      <w:rPr>
                        <w:b/>
                        <w:bCs/>
                        <w:color w:val="1F3864" w:themeColor="accent5" w:themeShade="80"/>
                        <w:sz w:val="20"/>
                        <w:szCs w:val="20"/>
                      </w:rPr>
                      <w:t>de 2022</w:t>
                    </w:r>
                  </w:p>
                </w:txbxContent>
              </v:textbox>
              <w10:wrap anchorx="page"/>
            </v:shape>
          </w:pict>
        </mc:Fallback>
      </mc:AlternateContent>
    </w:r>
    <w:r>
      <w:rPr>
        <w:noProof/>
      </w:rPr>
      <w:drawing>
        <wp:anchor distT="0" distB="0" distL="114300" distR="114300" simplePos="0" relativeHeight="251662336" behindDoc="1" locked="0" layoutInCell="1" allowOverlap="1" wp14:anchorId="4D1D9CA5" wp14:editId="5C83F9B8">
          <wp:simplePos x="0" y="0"/>
          <wp:positionH relativeFrom="column">
            <wp:posOffset>4906938</wp:posOffset>
          </wp:positionH>
          <wp:positionV relativeFrom="paragraph">
            <wp:posOffset>120144</wp:posOffset>
          </wp:positionV>
          <wp:extent cx="1116623" cy="492125"/>
          <wp:effectExtent l="0" t="0" r="0" b="3175"/>
          <wp:wrapNone/>
          <wp:docPr id="36" name="Imagen 3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623" cy="49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EC4">
      <w:rPr>
        <w:noProof/>
      </w:rPr>
      <w:drawing>
        <wp:anchor distT="0" distB="0" distL="114300" distR="114300" simplePos="0" relativeHeight="251663360" behindDoc="1" locked="0" layoutInCell="1" allowOverlap="1" wp14:anchorId="46F918DC" wp14:editId="7165DFA3">
          <wp:simplePos x="0" y="0"/>
          <wp:positionH relativeFrom="margin">
            <wp:posOffset>-605155</wp:posOffset>
          </wp:positionH>
          <wp:positionV relativeFrom="paragraph">
            <wp:posOffset>154305</wp:posOffset>
          </wp:positionV>
          <wp:extent cx="1582615" cy="457144"/>
          <wp:effectExtent l="0" t="0" r="0" b="63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11986"/>
                  <a:stretch/>
                </pic:blipFill>
                <pic:spPr bwMode="auto">
                  <a:xfrm>
                    <a:off x="0" y="0"/>
                    <a:ext cx="1582615" cy="4571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23CE76" w14:textId="6CA58768" w:rsidR="00B34418" w:rsidRDefault="00B34418" w:rsidP="001440F4">
    <w:pPr>
      <w:pStyle w:val="Encabezado"/>
      <w:tabs>
        <w:tab w:val="clear" w:pos="4419"/>
      </w:tabs>
      <w:jc w:val="center"/>
    </w:pPr>
  </w:p>
  <w:p w14:paraId="6A967721" w14:textId="62A175C5" w:rsidR="001440F4" w:rsidRPr="006A79A3" w:rsidRDefault="006A79A3" w:rsidP="006A79A3">
    <w:pPr>
      <w:tabs>
        <w:tab w:val="left" w:pos="3226"/>
      </w:tabs>
      <w:rPr>
        <w:b/>
        <w:bCs/>
        <w:color w:val="1F3864" w:themeColor="accent5" w:themeShade="80"/>
        <w:sz w:val="20"/>
        <w:szCs w:val="20"/>
      </w:rPr>
    </w:pPr>
    <w:r>
      <w:rPr>
        <w:b/>
        <w:bCs/>
        <w:color w:val="1F3864" w:themeColor="accent5" w:themeShade="80"/>
        <w:sz w:val="20"/>
        <w:szCs w:val="20"/>
      </w:rPr>
      <w:tab/>
    </w:r>
  </w:p>
  <w:p w14:paraId="79B263E5" w14:textId="116E76AE" w:rsidR="001440F4" w:rsidRPr="00E369AC" w:rsidRDefault="001440F4" w:rsidP="001440F4">
    <w:pPr>
      <w:jc w:val="center"/>
      <w:rPr>
        <w:b/>
        <w:bCs/>
        <w:color w:val="1F3864" w:themeColor="accent5" w:themeShade="8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A19"/>
    <w:multiLevelType w:val="hybridMultilevel"/>
    <w:tmpl w:val="C0065752"/>
    <w:lvl w:ilvl="0" w:tplc="30BE757E">
      <w:start w:val="1"/>
      <w:numFmt w:val="decimal"/>
      <w:lvlText w:val="%1."/>
      <w:lvlJc w:val="left"/>
      <w:pPr>
        <w:ind w:left="-4" w:hanging="705"/>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1091" w:hanging="180"/>
      </w:pPr>
    </w:lvl>
    <w:lvl w:ilvl="3" w:tplc="240A000F" w:tentative="1">
      <w:start w:val="1"/>
      <w:numFmt w:val="decimal"/>
      <w:lvlText w:val="%4."/>
      <w:lvlJc w:val="left"/>
      <w:pPr>
        <w:ind w:left="1811" w:hanging="360"/>
      </w:pPr>
    </w:lvl>
    <w:lvl w:ilvl="4" w:tplc="240A0019" w:tentative="1">
      <w:start w:val="1"/>
      <w:numFmt w:val="lowerLetter"/>
      <w:lvlText w:val="%5."/>
      <w:lvlJc w:val="left"/>
      <w:pPr>
        <w:ind w:left="2531" w:hanging="360"/>
      </w:pPr>
    </w:lvl>
    <w:lvl w:ilvl="5" w:tplc="240A001B" w:tentative="1">
      <w:start w:val="1"/>
      <w:numFmt w:val="lowerRoman"/>
      <w:lvlText w:val="%6."/>
      <w:lvlJc w:val="right"/>
      <w:pPr>
        <w:ind w:left="3251" w:hanging="180"/>
      </w:pPr>
    </w:lvl>
    <w:lvl w:ilvl="6" w:tplc="240A000F" w:tentative="1">
      <w:start w:val="1"/>
      <w:numFmt w:val="decimal"/>
      <w:lvlText w:val="%7."/>
      <w:lvlJc w:val="left"/>
      <w:pPr>
        <w:ind w:left="3971" w:hanging="360"/>
      </w:pPr>
    </w:lvl>
    <w:lvl w:ilvl="7" w:tplc="240A0019" w:tentative="1">
      <w:start w:val="1"/>
      <w:numFmt w:val="lowerLetter"/>
      <w:lvlText w:val="%8."/>
      <w:lvlJc w:val="left"/>
      <w:pPr>
        <w:ind w:left="4691" w:hanging="360"/>
      </w:pPr>
    </w:lvl>
    <w:lvl w:ilvl="8" w:tplc="240A001B" w:tentative="1">
      <w:start w:val="1"/>
      <w:numFmt w:val="lowerRoman"/>
      <w:lvlText w:val="%9."/>
      <w:lvlJc w:val="right"/>
      <w:pPr>
        <w:ind w:left="5411" w:hanging="180"/>
      </w:pPr>
    </w:lvl>
  </w:abstractNum>
  <w:abstractNum w:abstractNumId="1" w15:restartNumberingAfterBreak="0">
    <w:nsid w:val="07D93CBD"/>
    <w:multiLevelType w:val="hybridMultilevel"/>
    <w:tmpl w:val="E41CB36E"/>
    <w:lvl w:ilvl="0" w:tplc="240A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6C1FB9"/>
    <w:multiLevelType w:val="hybridMultilevel"/>
    <w:tmpl w:val="80A48FD8"/>
    <w:lvl w:ilvl="0" w:tplc="B440B2D8">
      <w:start w:val="1"/>
      <w:numFmt w:val="bullet"/>
      <w:lvlText w:val="-"/>
      <w:lvlJc w:val="left"/>
      <w:pPr>
        <w:ind w:left="11" w:hanging="360"/>
      </w:pPr>
      <w:rPr>
        <w:rFonts w:ascii="Calibri" w:eastAsiaTheme="minorHAnsi" w:hAnsi="Calibri" w:cstheme="minorBidi"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3" w15:restartNumberingAfterBreak="0">
    <w:nsid w:val="34EC7E24"/>
    <w:multiLevelType w:val="hybridMultilevel"/>
    <w:tmpl w:val="A800B02C"/>
    <w:lvl w:ilvl="0" w:tplc="70CEEB12">
      <w:start w:val="1"/>
      <w:numFmt w:val="bullet"/>
      <w:lvlText w:val=""/>
      <w:lvlJc w:val="left"/>
      <w:pPr>
        <w:ind w:left="-349" w:hanging="360"/>
      </w:pPr>
      <w:rPr>
        <w:rFonts w:ascii="Symbol" w:eastAsiaTheme="minorHAnsi" w:hAnsi="Symbol" w:cstheme="minorBidi" w:hint="default"/>
      </w:rPr>
    </w:lvl>
    <w:lvl w:ilvl="1" w:tplc="240A0003" w:tentative="1">
      <w:start w:val="1"/>
      <w:numFmt w:val="bullet"/>
      <w:lvlText w:val="o"/>
      <w:lvlJc w:val="left"/>
      <w:pPr>
        <w:ind w:left="371" w:hanging="360"/>
      </w:pPr>
      <w:rPr>
        <w:rFonts w:ascii="Courier New" w:hAnsi="Courier New" w:cs="Courier New" w:hint="default"/>
      </w:rPr>
    </w:lvl>
    <w:lvl w:ilvl="2" w:tplc="240A0005" w:tentative="1">
      <w:start w:val="1"/>
      <w:numFmt w:val="bullet"/>
      <w:lvlText w:val=""/>
      <w:lvlJc w:val="left"/>
      <w:pPr>
        <w:ind w:left="1091" w:hanging="360"/>
      </w:pPr>
      <w:rPr>
        <w:rFonts w:ascii="Wingdings" w:hAnsi="Wingdings" w:hint="default"/>
      </w:rPr>
    </w:lvl>
    <w:lvl w:ilvl="3" w:tplc="240A0001" w:tentative="1">
      <w:start w:val="1"/>
      <w:numFmt w:val="bullet"/>
      <w:lvlText w:val=""/>
      <w:lvlJc w:val="left"/>
      <w:pPr>
        <w:ind w:left="1811" w:hanging="360"/>
      </w:pPr>
      <w:rPr>
        <w:rFonts w:ascii="Symbol" w:hAnsi="Symbol" w:hint="default"/>
      </w:rPr>
    </w:lvl>
    <w:lvl w:ilvl="4" w:tplc="240A0003" w:tentative="1">
      <w:start w:val="1"/>
      <w:numFmt w:val="bullet"/>
      <w:lvlText w:val="o"/>
      <w:lvlJc w:val="left"/>
      <w:pPr>
        <w:ind w:left="2531" w:hanging="360"/>
      </w:pPr>
      <w:rPr>
        <w:rFonts w:ascii="Courier New" w:hAnsi="Courier New" w:cs="Courier New" w:hint="default"/>
      </w:rPr>
    </w:lvl>
    <w:lvl w:ilvl="5" w:tplc="240A0005" w:tentative="1">
      <w:start w:val="1"/>
      <w:numFmt w:val="bullet"/>
      <w:lvlText w:val=""/>
      <w:lvlJc w:val="left"/>
      <w:pPr>
        <w:ind w:left="3251" w:hanging="360"/>
      </w:pPr>
      <w:rPr>
        <w:rFonts w:ascii="Wingdings" w:hAnsi="Wingdings" w:hint="default"/>
      </w:rPr>
    </w:lvl>
    <w:lvl w:ilvl="6" w:tplc="240A0001" w:tentative="1">
      <w:start w:val="1"/>
      <w:numFmt w:val="bullet"/>
      <w:lvlText w:val=""/>
      <w:lvlJc w:val="left"/>
      <w:pPr>
        <w:ind w:left="3971" w:hanging="360"/>
      </w:pPr>
      <w:rPr>
        <w:rFonts w:ascii="Symbol" w:hAnsi="Symbol" w:hint="default"/>
      </w:rPr>
    </w:lvl>
    <w:lvl w:ilvl="7" w:tplc="240A0003" w:tentative="1">
      <w:start w:val="1"/>
      <w:numFmt w:val="bullet"/>
      <w:lvlText w:val="o"/>
      <w:lvlJc w:val="left"/>
      <w:pPr>
        <w:ind w:left="4691" w:hanging="360"/>
      </w:pPr>
      <w:rPr>
        <w:rFonts w:ascii="Courier New" w:hAnsi="Courier New" w:cs="Courier New" w:hint="default"/>
      </w:rPr>
    </w:lvl>
    <w:lvl w:ilvl="8" w:tplc="240A0005" w:tentative="1">
      <w:start w:val="1"/>
      <w:numFmt w:val="bullet"/>
      <w:lvlText w:val=""/>
      <w:lvlJc w:val="left"/>
      <w:pPr>
        <w:ind w:left="5411" w:hanging="360"/>
      </w:pPr>
      <w:rPr>
        <w:rFonts w:ascii="Wingdings" w:hAnsi="Wingdings" w:hint="default"/>
      </w:rPr>
    </w:lvl>
  </w:abstractNum>
  <w:abstractNum w:abstractNumId="4" w15:restartNumberingAfterBreak="0">
    <w:nsid w:val="36C97D8D"/>
    <w:multiLevelType w:val="hybridMultilevel"/>
    <w:tmpl w:val="C9B0071E"/>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9D3154C"/>
    <w:multiLevelType w:val="hybridMultilevel"/>
    <w:tmpl w:val="01A08E46"/>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6" w15:restartNumberingAfterBreak="0">
    <w:nsid w:val="480A7A9A"/>
    <w:multiLevelType w:val="hybridMultilevel"/>
    <w:tmpl w:val="4F2491A4"/>
    <w:lvl w:ilvl="0" w:tplc="240A0001">
      <w:start w:val="1"/>
      <w:numFmt w:val="bullet"/>
      <w:lvlText w:val=""/>
      <w:lvlJc w:val="left"/>
      <w:pPr>
        <w:ind w:left="11" w:hanging="360"/>
      </w:pPr>
      <w:rPr>
        <w:rFonts w:ascii="Symbol" w:hAnsi="Symbol" w:hint="default"/>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7" w15:restartNumberingAfterBreak="0">
    <w:nsid w:val="6468277B"/>
    <w:multiLevelType w:val="hybridMultilevel"/>
    <w:tmpl w:val="CD6E7A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6ADD75C2"/>
    <w:multiLevelType w:val="hybridMultilevel"/>
    <w:tmpl w:val="5E984A7E"/>
    <w:lvl w:ilvl="0" w:tplc="4A2AA00C">
      <w:start w:val="1"/>
      <w:numFmt w:val="bullet"/>
      <w:lvlText w:val=""/>
      <w:lvlJc w:val="left"/>
      <w:pPr>
        <w:ind w:left="11" w:hanging="360"/>
      </w:pPr>
      <w:rPr>
        <w:rFonts w:ascii="Wingdings" w:hAnsi="Wingdings" w:hint="default"/>
        <w:color w:val="1F3864" w:themeColor="accent5" w:themeShade="80"/>
      </w:rPr>
    </w:lvl>
    <w:lvl w:ilvl="1" w:tplc="240A0003" w:tentative="1">
      <w:start w:val="1"/>
      <w:numFmt w:val="bullet"/>
      <w:lvlText w:val="o"/>
      <w:lvlJc w:val="left"/>
      <w:pPr>
        <w:ind w:left="731" w:hanging="360"/>
      </w:pPr>
      <w:rPr>
        <w:rFonts w:ascii="Courier New" w:hAnsi="Courier New" w:cs="Courier New" w:hint="default"/>
      </w:rPr>
    </w:lvl>
    <w:lvl w:ilvl="2" w:tplc="240A0005" w:tentative="1">
      <w:start w:val="1"/>
      <w:numFmt w:val="bullet"/>
      <w:lvlText w:val=""/>
      <w:lvlJc w:val="left"/>
      <w:pPr>
        <w:ind w:left="1451" w:hanging="360"/>
      </w:pPr>
      <w:rPr>
        <w:rFonts w:ascii="Wingdings" w:hAnsi="Wingdings" w:hint="default"/>
      </w:rPr>
    </w:lvl>
    <w:lvl w:ilvl="3" w:tplc="240A0001" w:tentative="1">
      <w:start w:val="1"/>
      <w:numFmt w:val="bullet"/>
      <w:lvlText w:val=""/>
      <w:lvlJc w:val="left"/>
      <w:pPr>
        <w:ind w:left="2171" w:hanging="360"/>
      </w:pPr>
      <w:rPr>
        <w:rFonts w:ascii="Symbol" w:hAnsi="Symbol" w:hint="default"/>
      </w:rPr>
    </w:lvl>
    <w:lvl w:ilvl="4" w:tplc="240A0003" w:tentative="1">
      <w:start w:val="1"/>
      <w:numFmt w:val="bullet"/>
      <w:lvlText w:val="o"/>
      <w:lvlJc w:val="left"/>
      <w:pPr>
        <w:ind w:left="2891" w:hanging="360"/>
      </w:pPr>
      <w:rPr>
        <w:rFonts w:ascii="Courier New" w:hAnsi="Courier New" w:cs="Courier New" w:hint="default"/>
      </w:rPr>
    </w:lvl>
    <w:lvl w:ilvl="5" w:tplc="240A0005" w:tentative="1">
      <w:start w:val="1"/>
      <w:numFmt w:val="bullet"/>
      <w:lvlText w:val=""/>
      <w:lvlJc w:val="left"/>
      <w:pPr>
        <w:ind w:left="3611" w:hanging="360"/>
      </w:pPr>
      <w:rPr>
        <w:rFonts w:ascii="Wingdings" w:hAnsi="Wingdings" w:hint="default"/>
      </w:rPr>
    </w:lvl>
    <w:lvl w:ilvl="6" w:tplc="240A0001" w:tentative="1">
      <w:start w:val="1"/>
      <w:numFmt w:val="bullet"/>
      <w:lvlText w:val=""/>
      <w:lvlJc w:val="left"/>
      <w:pPr>
        <w:ind w:left="4331" w:hanging="360"/>
      </w:pPr>
      <w:rPr>
        <w:rFonts w:ascii="Symbol" w:hAnsi="Symbol" w:hint="default"/>
      </w:rPr>
    </w:lvl>
    <w:lvl w:ilvl="7" w:tplc="240A0003" w:tentative="1">
      <w:start w:val="1"/>
      <w:numFmt w:val="bullet"/>
      <w:lvlText w:val="o"/>
      <w:lvlJc w:val="left"/>
      <w:pPr>
        <w:ind w:left="5051" w:hanging="360"/>
      </w:pPr>
      <w:rPr>
        <w:rFonts w:ascii="Courier New" w:hAnsi="Courier New" w:cs="Courier New" w:hint="default"/>
      </w:rPr>
    </w:lvl>
    <w:lvl w:ilvl="8" w:tplc="240A0005" w:tentative="1">
      <w:start w:val="1"/>
      <w:numFmt w:val="bullet"/>
      <w:lvlText w:val=""/>
      <w:lvlJc w:val="left"/>
      <w:pPr>
        <w:ind w:left="5771" w:hanging="360"/>
      </w:pPr>
      <w:rPr>
        <w:rFonts w:ascii="Wingdings" w:hAnsi="Wingdings" w:hint="default"/>
      </w:rPr>
    </w:lvl>
  </w:abstractNum>
  <w:abstractNum w:abstractNumId="9" w15:restartNumberingAfterBreak="0">
    <w:nsid w:val="6F9200A2"/>
    <w:multiLevelType w:val="hybridMultilevel"/>
    <w:tmpl w:val="0638D76A"/>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542BD6"/>
    <w:multiLevelType w:val="hybridMultilevel"/>
    <w:tmpl w:val="60F4E80E"/>
    <w:lvl w:ilvl="0" w:tplc="24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775097652">
    <w:abstractNumId w:val="5"/>
  </w:num>
  <w:num w:numId="2" w16cid:durableId="826213689">
    <w:abstractNumId w:val="2"/>
  </w:num>
  <w:num w:numId="3" w16cid:durableId="351953584">
    <w:abstractNumId w:val="9"/>
  </w:num>
  <w:num w:numId="4" w16cid:durableId="248008112">
    <w:abstractNumId w:val="6"/>
  </w:num>
  <w:num w:numId="5" w16cid:durableId="1582834210">
    <w:abstractNumId w:val="1"/>
  </w:num>
  <w:num w:numId="6" w16cid:durableId="765422674">
    <w:abstractNumId w:val="8"/>
  </w:num>
  <w:num w:numId="7" w16cid:durableId="235012863">
    <w:abstractNumId w:val="0"/>
  </w:num>
  <w:num w:numId="8" w16cid:durableId="1842040544">
    <w:abstractNumId w:val="3"/>
  </w:num>
  <w:num w:numId="9" w16cid:durableId="1776561567">
    <w:abstractNumId w:val="7"/>
    <w:lvlOverride w:ilvl="0"/>
    <w:lvlOverride w:ilvl="1"/>
    <w:lvlOverride w:ilvl="2"/>
    <w:lvlOverride w:ilvl="3"/>
    <w:lvlOverride w:ilvl="4"/>
    <w:lvlOverride w:ilvl="5"/>
    <w:lvlOverride w:ilvl="6"/>
    <w:lvlOverride w:ilvl="7"/>
    <w:lvlOverride w:ilvl="8"/>
  </w:num>
  <w:num w:numId="10" w16cid:durableId="1918321122">
    <w:abstractNumId w:val="10"/>
  </w:num>
  <w:num w:numId="11" w16cid:durableId="7396000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44"/>
    <w:rsid w:val="00006C80"/>
    <w:rsid w:val="00011D6A"/>
    <w:rsid w:val="00021ABE"/>
    <w:rsid w:val="00021B01"/>
    <w:rsid w:val="00027F82"/>
    <w:rsid w:val="00061478"/>
    <w:rsid w:val="00066547"/>
    <w:rsid w:val="00071AF6"/>
    <w:rsid w:val="00074770"/>
    <w:rsid w:val="000752E8"/>
    <w:rsid w:val="0008068E"/>
    <w:rsid w:val="00083A6E"/>
    <w:rsid w:val="00091278"/>
    <w:rsid w:val="00095E21"/>
    <w:rsid w:val="000A2C08"/>
    <w:rsid w:val="000A5E7B"/>
    <w:rsid w:val="000A6A5E"/>
    <w:rsid w:val="000A6C8A"/>
    <w:rsid w:val="000C575B"/>
    <w:rsid w:val="000D07BB"/>
    <w:rsid w:val="000D462D"/>
    <w:rsid w:val="000D659A"/>
    <w:rsid w:val="000D6D7C"/>
    <w:rsid w:val="000E20E8"/>
    <w:rsid w:val="000E5651"/>
    <w:rsid w:val="00102DD8"/>
    <w:rsid w:val="00104026"/>
    <w:rsid w:val="00104190"/>
    <w:rsid w:val="00111E98"/>
    <w:rsid w:val="00112734"/>
    <w:rsid w:val="00121BBF"/>
    <w:rsid w:val="00125D1E"/>
    <w:rsid w:val="001440F4"/>
    <w:rsid w:val="001442C1"/>
    <w:rsid w:val="001516DF"/>
    <w:rsid w:val="00154E93"/>
    <w:rsid w:val="00160FA6"/>
    <w:rsid w:val="0016190F"/>
    <w:rsid w:val="00161949"/>
    <w:rsid w:val="00163D16"/>
    <w:rsid w:val="001850A7"/>
    <w:rsid w:val="00186393"/>
    <w:rsid w:val="00187205"/>
    <w:rsid w:val="001875B4"/>
    <w:rsid w:val="001902EF"/>
    <w:rsid w:val="00197E01"/>
    <w:rsid w:val="001A40D4"/>
    <w:rsid w:val="001A7F29"/>
    <w:rsid w:val="001B4AAF"/>
    <w:rsid w:val="001B553A"/>
    <w:rsid w:val="001B669A"/>
    <w:rsid w:val="001B79E5"/>
    <w:rsid w:val="001C4633"/>
    <w:rsid w:val="001D182D"/>
    <w:rsid w:val="001D474D"/>
    <w:rsid w:val="001D4A94"/>
    <w:rsid w:val="001F0A92"/>
    <w:rsid w:val="001F12FE"/>
    <w:rsid w:val="00202C78"/>
    <w:rsid w:val="00203ACB"/>
    <w:rsid w:val="002124F9"/>
    <w:rsid w:val="00220A76"/>
    <w:rsid w:val="00221760"/>
    <w:rsid w:val="0022362D"/>
    <w:rsid w:val="00223CF1"/>
    <w:rsid w:val="002250DC"/>
    <w:rsid w:val="002315FF"/>
    <w:rsid w:val="002324A8"/>
    <w:rsid w:val="0023538B"/>
    <w:rsid w:val="002366A2"/>
    <w:rsid w:val="00236885"/>
    <w:rsid w:val="00241D1E"/>
    <w:rsid w:val="002501EE"/>
    <w:rsid w:val="002514CD"/>
    <w:rsid w:val="00254B11"/>
    <w:rsid w:val="00255A66"/>
    <w:rsid w:val="0026793F"/>
    <w:rsid w:val="0028484F"/>
    <w:rsid w:val="002928E9"/>
    <w:rsid w:val="00292F36"/>
    <w:rsid w:val="002A6E7C"/>
    <w:rsid w:val="002B21EF"/>
    <w:rsid w:val="002B6EE6"/>
    <w:rsid w:val="002B77C0"/>
    <w:rsid w:val="002C0B63"/>
    <w:rsid w:val="002C0F1F"/>
    <w:rsid w:val="002C7ADE"/>
    <w:rsid w:val="002D28FB"/>
    <w:rsid w:val="002E400D"/>
    <w:rsid w:val="002E7315"/>
    <w:rsid w:val="002E7812"/>
    <w:rsid w:val="003047A4"/>
    <w:rsid w:val="00307C5C"/>
    <w:rsid w:val="003105F3"/>
    <w:rsid w:val="0032143C"/>
    <w:rsid w:val="003229FE"/>
    <w:rsid w:val="00334B5D"/>
    <w:rsid w:val="00341D86"/>
    <w:rsid w:val="00343499"/>
    <w:rsid w:val="0034362C"/>
    <w:rsid w:val="00346DC1"/>
    <w:rsid w:val="003472A7"/>
    <w:rsid w:val="00353838"/>
    <w:rsid w:val="00363ED4"/>
    <w:rsid w:val="00364929"/>
    <w:rsid w:val="00366758"/>
    <w:rsid w:val="00367524"/>
    <w:rsid w:val="003903F3"/>
    <w:rsid w:val="003962CE"/>
    <w:rsid w:val="003A744B"/>
    <w:rsid w:val="003B11D4"/>
    <w:rsid w:val="003C2E5E"/>
    <w:rsid w:val="003C4CDF"/>
    <w:rsid w:val="003C6939"/>
    <w:rsid w:val="003D2975"/>
    <w:rsid w:val="003D2BA6"/>
    <w:rsid w:val="003D3E44"/>
    <w:rsid w:val="003E60B8"/>
    <w:rsid w:val="003E697E"/>
    <w:rsid w:val="003E7B06"/>
    <w:rsid w:val="00406CFE"/>
    <w:rsid w:val="00407184"/>
    <w:rsid w:val="004223E2"/>
    <w:rsid w:val="0042295C"/>
    <w:rsid w:val="00456E69"/>
    <w:rsid w:val="0045779F"/>
    <w:rsid w:val="00457CEA"/>
    <w:rsid w:val="004670E5"/>
    <w:rsid w:val="00471121"/>
    <w:rsid w:val="00474073"/>
    <w:rsid w:val="00483174"/>
    <w:rsid w:val="00485AB6"/>
    <w:rsid w:val="004A38A7"/>
    <w:rsid w:val="004A578B"/>
    <w:rsid w:val="004A76F7"/>
    <w:rsid w:val="004B2D02"/>
    <w:rsid w:val="004C5FB9"/>
    <w:rsid w:val="004C7221"/>
    <w:rsid w:val="004C7EDC"/>
    <w:rsid w:val="004F4D83"/>
    <w:rsid w:val="004F5F71"/>
    <w:rsid w:val="00501B86"/>
    <w:rsid w:val="005041FD"/>
    <w:rsid w:val="0053013F"/>
    <w:rsid w:val="00531FB3"/>
    <w:rsid w:val="005362BE"/>
    <w:rsid w:val="00541925"/>
    <w:rsid w:val="00543785"/>
    <w:rsid w:val="0054556B"/>
    <w:rsid w:val="005462F5"/>
    <w:rsid w:val="00550A8C"/>
    <w:rsid w:val="005638FB"/>
    <w:rsid w:val="00564C4B"/>
    <w:rsid w:val="0056696F"/>
    <w:rsid w:val="00572B2B"/>
    <w:rsid w:val="00576328"/>
    <w:rsid w:val="00591743"/>
    <w:rsid w:val="00591CDB"/>
    <w:rsid w:val="00596EE2"/>
    <w:rsid w:val="005A7E65"/>
    <w:rsid w:val="005B235E"/>
    <w:rsid w:val="005B4A89"/>
    <w:rsid w:val="005C07CB"/>
    <w:rsid w:val="005D4984"/>
    <w:rsid w:val="005D594E"/>
    <w:rsid w:val="005D7AA1"/>
    <w:rsid w:val="005F6629"/>
    <w:rsid w:val="0060000C"/>
    <w:rsid w:val="00600361"/>
    <w:rsid w:val="00600C03"/>
    <w:rsid w:val="006015E3"/>
    <w:rsid w:val="00604F1A"/>
    <w:rsid w:val="00606629"/>
    <w:rsid w:val="00607F15"/>
    <w:rsid w:val="00624177"/>
    <w:rsid w:val="00625E29"/>
    <w:rsid w:val="00626701"/>
    <w:rsid w:val="00632B1E"/>
    <w:rsid w:val="0064012C"/>
    <w:rsid w:val="0064583C"/>
    <w:rsid w:val="0064596F"/>
    <w:rsid w:val="006521E7"/>
    <w:rsid w:val="00661C25"/>
    <w:rsid w:val="0066759B"/>
    <w:rsid w:val="0067389D"/>
    <w:rsid w:val="006866F8"/>
    <w:rsid w:val="00686EA4"/>
    <w:rsid w:val="00690471"/>
    <w:rsid w:val="00691D1E"/>
    <w:rsid w:val="00696155"/>
    <w:rsid w:val="006A79A3"/>
    <w:rsid w:val="006B064A"/>
    <w:rsid w:val="006B0932"/>
    <w:rsid w:val="006C0799"/>
    <w:rsid w:val="006C09E0"/>
    <w:rsid w:val="006C1CE9"/>
    <w:rsid w:val="006C6606"/>
    <w:rsid w:val="006D3BAC"/>
    <w:rsid w:val="006E4A6F"/>
    <w:rsid w:val="006F25F1"/>
    <w:rsid w:val="006F2B90"/>
    <w:rsid w:val="006F5E20"/>
    <w:rsid w:val="00700687"/>
    <w:rsid w:val="007116FA"/>
    <w:rsid w:val="00712D46"/>
    <w:rsid w:val="007439FA"/>
    <w:rsid w:val="007541DA"/>
    <w:rsid w:val="00755759"/>
    <w:rsid w:val="007670C1"/>
    <w:rsid w:val="00772ABA"/>
    <w:rsid w:val="00773941"/>
    <w:rsid w:val="0077425C"/>
    <w:rsid w:val="00780EA7"/>
    <w:rsid w:val="00794263"/>
    <w:rsid w:val="007A10BB"/>
    <w:rsid w:val="007A2834"/>
    <w:rsid w:val="007A3281"/>
    <w:rsid w:val="007A371E"/>
    <w:rsid w:val="007A473D"/>
    <w:rsid w:val="007A785D"/>
    <w:rsid w:val="007B0D86"/>
    <w:rsid w:val="007B18CC"/>
    <w:rsid w:val="007B2417"/>
    <w:rsid w:val="007B412B"/>
    <w:rsid w:val="007C2335"/>
    <w:rsid w:val="007D23D6"/>
    <w:rsid w:val="007D6770"/>
    <w:rsid w:val="007D7BED"/>
    <w:rsid w:val="007E23EC"/>
    <w:rsid w:val="007E47EE"/>
    <w:rsid w:val="007E49FD"/>
    <w:rsid w:val="007E5646"/>
    <w:rsid w:val="008003C3"/>
    <w:rsid w:val="008024C1"/>
    <w:rsid w:val="00805D29"/>
    <w:rsid w:val="00810B07"/>
    <w:rsid w:val="008142E9"/>
    <w:rsid w:val="00815223"/>
    <w:rsid w:val="00823046"/>
    <w:rsid w:val="0082335A"/>
    <w:rsid w:val="00826149"/>
    <w:rsid w:val="0083392C"/>
    <w:rsid w:val="00835A46"/>
    <w:rsid w:val="00852255"/>
    <w:rsid w:val="00853B88"/>
    <w:rsid w:val="008548B8"/>
    <w:rsid w:val="0085646E"/>
    <w:rsid w:val="00857C08"/>
    <w:rsid w:val="00857E59"/>
    <w:rsid w:val="00860795"/>
    <w:rsid w:val="00863315"/>
    <w:rsid w:val="00867B5A"/>
    <w:rsid w:val="00880B68"/>
    <w:rsid w:val="00895547"/>
    <w:rsid w:val="008A7C10"/>
    <w:rsid w:val="008B3DAC"/>
    <w:rsid w:val="008B50A0"/>
    <w:rsid w:val="008B6535"/>
    <w:rsid w:val="008C0BDD"/>
    <w:rsid w:val="008D3D92"/>
    <w:rsid w:val="008D6661"/>
    <w:rsid w:val="008E3E21"/>
    <w:rsid w:val="008E78C1"/>
    <w:rsid w:val="008E7C5D"/>
    <w:rsid w:val="008F60E7"/>
    <w:rsid w:val="008F6858"/>
    <w:rsid w:val="00901952"/>
    <w:rsid w:val="009106D7"/>
    <w:rsid w:val="0091106F"/>
    <w:rsid w:val="00915B05"/>
    <w:rsid w:val="00917011"/>
    <w:rsid w:val="00924F4A"/>
    <w:rsid w:val="009430D8"/>
    <w:rsid w:val="00950B73"/>
    <w:rsid w:val="009528D2"/>
    <w:rsid w:val="00952F0E"/>
    <w:rsid w:val="00955E92"/>
    <w:rsid w:val="00957624"/>
    <w:rsid w:val="00966622"/>
    <w:rsid w:val="00987E97"/>
    <w:rsid w:val="0099604F"/>
    <w:rsid w:val="009B2B54"/>
    <w:rsid w:val="009C30A9"/>
    <w:rsid w:val="009C531E"/>
    <w:rsid w:val="009D37D7"/>
    <w:rsid w:val="009F598B"/>
    <w:rsid w:val="009F78F4"/>
    <w:rsid w:val="00A11DC4"/>
    <w:rsid w:val="00A16EB2"/>
    <w:rsid w:val="00A22A8F"/>
    <w:rsid w:val="00A25EC3"/>
    <w:rsid w:val="00A37334"/>
    <w:rsid w:val="00A40029"/>
    <w:rsid w:val="00A400A7"/>
    <w:rsid w:val="00A46F9F"/>
    <w:rsid w:val="00A47395"/>
    <w:rsid w:val="00A51767"/>
    <w:rsid w:val="00A61095"/>
    <w:rsid w:val="00A640E2"/>
    <w:rsid w:val="00A64B0B"/>
    <w:rsid w:val="00A650BD"/>
    <w:rsid w:val="00A658A5"/>
    <w:rsid w:val="00A75F6F"/>
    <w:rsid w:val="00A76F1D"/>
    <w:rsid w:val="00A8598B"/>
    <w:rsid w:val="00A9605E"/>
    <w:rsid w:val="00A96572"/>
    <w:rsid w:val="00AA06F3"/>
    <w:rsid w:val="00AA2FEB"/>
    <w:rsid w:val="00AA37E2"/>
    <w:rsid w:val="00AA6955"/>
    <w:rsid w:val="00AA7C57"/>
    <w:rsid w:val="00AB747E"/>
    <w:rsid w:val="00AB75CA"/>
    <w:rsid w:val="00AC1EC9"/>
    <w:rsid w:val="00AD39FA"/>
    <w:rsid w:val="00AD49AA"/>
    <w:rsid w:val="00AD5361"/>
    <w:rsid w:val="00AE264C"/>
    <w:rsid w:val="00AE592D"/>
    <w:rsid w:val="00AF5D57"/>
    <w:rsid w:val="00B14D41"/>
    <w:rsid w:val="00B15A50"/>
    <w:rsid w:val="00B17D87"/>
    <w:rsid w:val="00B2028D"/>
    <w:rsid w:val="00B21E91"/>
    <w:rsid w:val="00B22720"/>
    <w:rsid w:val="00B24ED8"/>
    <w:rsid w:val="00B26F60"/>
    <w:rsid w:val="00B34418"/>
    <w:rsid w:val="00B46B64"/>
    <w:rsid w:val="00B5216B"/>
    <w:rsid w:val="00B70454"/>
    <w:rsid w:val="00B752B1"/>
    <w:rsid w:val="00B9236F"/>
    <w:rsid w:val="00B93992"/>
    <w:rsid w:val="00BA0053"/>
    <w:rsid w:val="00BA1C19"/>
    <w:rsid w:val="00BB1741"/>
    <w:rsid w:val="00BB1B56"/>
    <w:rsid w:val="00BB3A43"/>
    <w:rsid w:val="00BC7632"/>
    <w:rsid w:val="00BE16BB"/>
    <w:rsid w:val="00BF18E6"/>
    <w:rsid w:val="00BF6534"/>
    <w:rsid w:val="00BF75FF"/>
    <w:rsid w:val="00C013E4"/>
    <w:rsid w:val="00C1037F"/>
    <w:rsid w:val="00C158E3"/>
    <w:rsid w:val="00C23619"/>
    <w:rsid w:val="00C30722"/>
    <w:rsid w:val="00C6047B"/>
    <w:rsid w:val="00C62054"/>
    <w:rsid w:val="00C63A15"/>
    <w:rsid w:val="00C71AAD"/>
    <w:rsid w:val="00C75A00"/>
    <w:rsid w:val="00C776A6"/>
    <w:rsid w:val="00C77CFD"/>
    <w:rsid w:val="00C852CA"/>
    <w:rsid w:val="00C867B7"/>
    <w:rsid w:val="00CA1F14"/>
    <w:rsid w:val="00CA6F6C"/>
    <w:rsid w:val="00CD1786"/>
    <w:rsid w:val="00CD3491"/>
    <w:rsid w:val="00CD67F5"/>
    <w:rsid w:val="00CD7E5F"/>
    <w:rsid w:val="00CE3070"/>
    <w:rsid w:val="00CE6FE5"/>
    <w:rsid w:val="00CF6C01"/>
    <w:rsid w:val="00D053D6"/>
    <w:rsid w:val="00D1095D"/>
    <w:rsid w:val="00D12039"/>
    <w:rsid w:val="00D125D4"/>
    <w:rsid w:val="00D21F67"/>
    <w:rsid w:val="00D221D6"/>
    <w:rsid w:val="00D26B2F"/>
    <w:rsid w:val="00D30075"/>
    <w:rsid w:val="00D3507E"/>
    <w:rsid w:val="00D370C8"/>
    <w:rsid w:val="00D4055C"/>
    <w:rsid w:val="00D419A4"/>
    <w:rsid w:val="00D4458C"/>
    <w:rsid w:val="00D56CF6"/>
    <w:rsid w:val="00D61E80"/>
    <w:rsid w:val="00D71ACD"/>
    <w:rsid w:val="00D73D0C"/>
    <w:rsid w:val="00D801CC"/>
    <w:rsid w:val="00D85465"/>
    <w:rsid w:val="00D903F9"/>
    <w:rsid w:val="00D90EE9"/>
    <w:rsid w:val="00D918F4"/>
    <w:rsid w:val="00D92414"/>
    <w:rsid w:val="00D94F4F"/>
    <w:rsid w:val="00D97530"/>
    <w:rsid w:val="00D97992"/>
    <w:rsid w:val="00DA0DA6"/>
    <w:rsid w:val="00DA5D91"/>
    <w:rsid w:val="00DB0C4B"/>
    <w:rsid w:val="00DB34F4"/>
    <w:rsid w:val="00DB432E"/>
    <w:rsid w:val="00DC0D3E"/>
    <w:rsid w:val="00DC63B3"/>
    <w:rsid w:val="00DC6B43"/>
    <w:rsid w:val="00DC77E3"/>
    <w:rsid w:val="00DD3EC4"/>
    <w:rsid w:val="00DD4959"/>
    <w:rsid w:val="00DE41A6"/>
    <w:rsid w:val="00E00D44"/>
    <w:rsid w:val="00E03521"/>
    <w:rsid w:val="00E158B1"/>
    <w:rsid w:val="00E15EC5"/>
    <w:rsid w:val="00E242EA"/>
    <w:rsid w:val="00E27A07"/>
    <w:rsid w:val="00E35DC9"/>
    <w:rsid w:val="00E369AC"/>
    <w:rsid w:val="00E46962"/>
    <w:rsid w:val="00E503F8"/>
    <w:rsid w:val="00E5789A"/>
    <w:rsid w:val="00E60AC3"/>
    <w:rsid w:val="00E648D2"/>
    <w:rsid w:val="00E67927"/>
    <w:rsid w:val="00E702B9"/>
    <w:rsid w:val="00E80983"/>
    <w:rsid w:val="00E92DD5"/>
    <w:rsid w:val="00EA24C3"/>
    <w:rsid w:val="00EA26E1"/>
    <w:rsid w:val="00EB2689"/>
    <w:rsid w:val="00EC147B"/>
    <w:rsid w:val="00EC4C24"/>
    <w:rsid w:val="00EC4CB2"/>
    <w:rsid w:val="00EC71E2"/>
    <w:rsid w:val="00ED02A5"/>
    <w:rsid w:val="00EE7BF8"/>
    <w:rsid w:val="00F1290B"/>
    <w:rsid w:val="00F13558"/>
    <w:rsid w:val="00F13CAF"/>
    <w:rsid w:val="00F22DDE"/>
    <w:rsid w:val="00F22EF9"/>
    <w:rsid w:val="00F30D2F"/>
    <w:rsid w:val="00F31461"/>
    <w:rsid w:val="00F3679E"/>
    <w:rsid w:val="00F468A5"/>
    <w:rsid w:val="00F502D9"/>
    <w:rsid w:val="00F50E51"/>
    <w:rsid w:val="00F56489"/>
    <w:rsid w:val="00F64801"/>
    <w:rsid w:val="00F659D2"/>
    <w:rsid w:val="00F73520"/>
    <w:rsid w:val="00F915BB"/>
    <w:rsid w:val="00F95AB5"/>
    <w:rsid w:val="00F95D89"/>
    <w:rsid w:val="00FA12BE"/>
    <w:rsid w:val="00FA7A44"/>
    <w:rsid w:val="00FB4159"/>
    <w:rsid w:val="00FC2407"/>
    <w:rsid w:val="00FD0DF3"/>
    <w:rsid w:val="00FD706E"/>
    <w:rsid w:val="00FF4A22"/>
    <w:rsid w:val="00FF4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67DB3"/>
  <w15:chartTrackingRefBased/>
  <w15:docId w15:val="{1F4369BE-7B19-4979-A437-B44445CA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41"/>
    <w:pPr>
      <w:spacing w:after="0" w:line="240" w:lineRule="auto"/>
    </w:pPr>
    <w:rPr>
      <w:rFonts w:ascii="Calibri" w:hAnsi="Calibri" w:cs="Calibri"/>
    </w:rPr>
  </w:style>
  <w:style w:type="paragraph" w:styleId="Ttulo1">
    <w:name w:val="heading 1"/>
    <w:basedOn w:val="Normal"/>
    <w:link w:val="Ttulo1Car"/>
    <w:uiPriority w:val="9"/>
    <w:qFormat/>
    <w:rsid w:val="000A6A5E"/>
    <w:pPr>
      <w:widowControl w:val="0"/>
      <w:autoSpaceDE w:val="0"/>
      <w:autoSpaceDN w:val="0"/>
      <w:spacing w:before="78"/>
      <w:ind w:left="230"/>
      <w:outlineLvl w:val="0"/>
    </w:pPr>
    <w:rPr>
      <w:rFonts w:ascii="Verdana" w:eastAsia="Verdana" w:hAnsi="Verdana" w:cs="Verdana"/>
      <w:b/>
      <w:bCs/>
      <w:lang w:val="es-ES" w:eastAsia="es-ES" w:bidi="es-ES"/>
    </w:rPr>
  </w:style>
  <w:style w:type="paragraph" w:styleId="Ttulo3">
    <w:name w:val="heading 3"/>
    <w:basedOn w:val="Normal"/>
    <w:next w:val="Normal"/>
    <w:link w:val="Ttulo3Car"/>
    <w:uiPriority w:val="9"/>
    <w:semiHidden/>
    <w:unhideWhenUsed/>
    <w:qFormat/>
    <w:rsid w:val="00406C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3E44"/>
    <w:pPr>
      <w:tabs>
        <w:tab w:val="center" w:pos="4419"/>
        <w:tab w:val="right" w:pos="8838"/>
      </w:tabs>
    </w:pPr>
  </w:style>
  <w:style w:type="character" w:customStyle="1" w:styleId="EncabezadoCar">
    <w:name w:val="Encabezado Car"/>
    <w:basedOn w:val="Fuentedeprrafopredeter"/>
    <w:link w:val="Encabezado"/>
    <w:uiPriority w:val="99"/>
    <w:rsid w:val="003D3E44"/>
  </w:style>
  <w:style w:type="paragraph" w:styleId="Piedepgina">
    <w:name w:val="footer"/>
    <w:basedOn w:val="Normal"/>
    <w:link w:val="PiedepginaCar"/>
    <w:uiPriority w:val="99"/>
    <w:unhideWhenUsed/>
    <w:rsid w:val="003D3E44"/>
    <w:pPr>
      <w:tabs>
        <w:tab w:val="center" w:pos="4419"/>
        <w:tab w:val="right" w:pos="8838"/>
      </w:tabs>
    </w:pPr>
  </w:style>
  <w:style w:type="character" w:customStyle="1" w:styleId="PiedepginaCar">
    <w:name w:val="Pie de página Car"/>
    <w:basedOn w:val="Fuentedeprrafopredeter"/>
    <w:link w:val="Piedepgina"/>
    <w:uiPriority w:val="99"/>
    <w:rsid w:val="003D3E44"/>
  </w:style>
  <w:style w:type="paragraph" w:customStyle="1" w:styleId="Default">
    <w:name w:val="Default"/>
    <w:basedOn w:val="Normal"/>
    <w:rsid w:val="00773941"/>
    <w:pPr>
      <w:autoSpaceDE w:val="0"/>
      <w:autoSpaceDN w:val="0"/>
    </w:pPr>
    <w:rPr>
      <w:rFonts w:ascii="Arial" w:hAnsi="Arial" w:cs="Arial"/>
      <w:color w:val="000000"/>
      <w:sz w:val="24"/>
      <w:szCs w:val="24"/>
    </w:rPr>
  </w:style>
  <w:style w:type="character" w:customStyle="1" w:styleId="Ttulo1Car">
    <w:name w:val="Título 1 Car"/>
    <w:basedOn w:val="Fuentedeprrafopredeter"/>
    <w:link w:val="Ttulo1"/>
    <w:uiPriority w:val="9"/>
    <w:rsid w:val="000A6A5E"/>
    <w:rPr>
      <w:rFonts w:ascii="Verdana" w:eastAsia="Verdana" w:hAnsi="Verdana" w:cs="Verdana"/>
      <w:b/>
      <w:bCs/>
      <w:lang w:val="es-ES" w:eastAsia="es-ES" w:bidi="es-ES"/>
    </w:rPr>
  </w:style>
  <w:style w:type="paragraph" w:styleId="Textoindependiente">
    <w:name w:val="Body Text"/>
    <w:basedOn w:val="Normal"/>
    <w:link w:val="TextoindependienteCar"/>
    <w:uiPriority w:val="1"/>
    <w:qFormat/>
    <w:rsid w:val="000A6A5E"/>
    <w:pPr>
      <w:widowControl w:val="0"/>
      <w:autoSpaceDE w:val="0"/>
      <w:autoSpaceDN w:val="0"/>
    </w:pPr>
    <w:rPr>
      <w:rFonts w:ascii="Verdana" w:eastAsia="Verdana" w:hAnsi="Verdana" w:cs="Verdana"/>
      <w:lang w:val="es-ES" w:eastAsia="es-ES" w:bidi="es-ES"/>
    </w:rPr>
  </w:style>
  <w:style w:type="character" w:customStyle="1" w:styleId="TextoindependienteCar">
    <w:name w:val="Texto independiente Car"/>
    <w:basedOn w:val="Fuentedeprrafopredeter"/>
    <w:link w:val="Textoindependiente"/>
    <w:uiPriority w:val="1"/>
    <w:rsid w:val="000A6A5E"/>
    <w:rPr>
      <w:rFonts w:ascii="Verdana" w:eastAsia="Verdana" w:hAnsi="Verdana" w:cs="Verdana"/>
      <w:lang w:val="es-ES" w:eastAsia="es-ES" w:bidi="es-ES"/>
    </w:rPr>
  </w:style>
  <w:style w:type="table" w:styleId="Tablaconcuadrcula">
    <w:name w:val="Table Grid"/>
    <w:basedOn w:val="Tablanormal"/>
    <w:uiPriority w:val="39"/>
    <w:rsid w:val="000A6A5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64B0B"/>
    <w:rPr>
      <w:color w:val="0563C1" w:themeColor="hyperlink"/>
      <w:u w:val="single"/>
    </w:rPr>
  </w:style>
  <w:style w:type="paragraph" w:styleId="Prrafodelista">
    <w:name w:val="List Paragraph"/>
    <w:aliases w:val="titulo 3,List,Bullets,Ha,Párrafo de lista2,Cuadrícula clara - Énfasis 31,List Paragraph,Lista vistosa - Énfasis 11,TIT 2 IND,Titulo parrafo,Dot pt,No Spacing1,List Paragraph Char Char Char,Indicator Text,Numbered Para 1,Bullet 1,HOJA"/>
    <w:basedOn w:val="Normal"/>
    <w:link w:val="PrrafodelistaCar"/>
    <w:uiPriority w:val="1"/>
    <w:qFormat/>
    <w:rsid w:val="00A64B0B"/>
    <w:pPr>
      <w:spacing w:after="160" w:line="259" w:lineRule="auto"/>
      <w:ind w:left="720"/>
      <w:contextualSpacing/>
    </w:pPr>
    <w:rPr>
      <w:rFonts w:asciiTheme="minorHAnsi" w:hAnsiTheme="minorHAnsi" w:cstheme="minorBidi"/>
    </w:rPr>
  </w:style>
  <w:style w:type="character" w:customStyle="1" w:styleId="Ttulo3Car">
    <w:name w:val="Título 3 Car"/>
    <w:basedOn w:val="Fuentedeprrafopredeter"/>
    <w:link w:val="Ttulo3"/>
    <w:uiPriority w:val="9"/>
    <w:semiHidden/>
    <w:rsid w:val="00406CFE"/>
    <w:rPr>
      <w:rFonts w:asciiTheme="majorHAnsi" w:eastAsiaTheme="majorEastAsia" w:hAnsiTheme="majorHAnsi" w:cstheme="majorBidi"/>
      <w:color w:val="1F4D78" w:themeColor="accent1" w:themeShade="7F"/>
      <w:sz w:val="24"/>
      <w:szCs w:val="24"/>
    </w:rPr>
  </w:style>
  <w:style w:type="character" w:customStyle="1" w:styleId="PrrafodelistaCar">
    <w:name w:val="Párrafo de lista Car"/>
    <w:aliases w:val="titulo 3 Car,List Car,Bullets Car,Ha Car,Párrafo de lista2 Car,Cuadrícula clara - Énfasis 31 Car,List Paragraph Car,Lista vistosa - Énfasis 11 Car,TIT 2 IND Car,Titulo parrafo Car,Dot pt Car,No Spacing1 Car,Indicator Text Car"/>
    <w:link w:val="Prrafodelista"/>
    <w:uiPriority w:val="1"/>
    <w:qFormat/>
    <w:rsid w:val="00406CFE"/>
  </w:style>
  <w:style w:type="paragraph" w:styleId="Ttulo">
    <w:name w:val="Title"/>
    <w:basedOn w:val="Normal"/>
    <w:next w:val="Normal"/>
    <w:link w:val="TtuloCar"/>
    <w:uiPriority w:val="10"/>
    <w:qFormat/>
    <w:rsid w:val="00406CFE"/>
    <w:pPr>
      <w:contextualSpacing/>
      <w:jc w:val="both"/>
    </w:pPr>
    <w:rPr>
      <w:rFonts w:ascii="Century Gothic" w:eastAsiaTheme="majorEastAsia" w:hAnsi="Century Gothic" w:cstheme="majorBidi"/>
      <w:b/>
      <w:color w:val="2E74B5" w:themeColor="accent1" w:themeShade="BF"/>
      <w:spacing w:val="-10"/>
      <w:kern w:val="28"/>
      <w:sz w:val="32"/>
      <w:szCs w:val="56"/>
    </w:rPr>
  </w:style>
  <w:style w:type="character" w:customStyle="1" w:styleId="TtuloCar">
    <w:name w:val="Título Car"/>
    <w:basedOn w:val="Fuentedeprrafopredeter"/>
    <w:link w:val="Ttulo"/>
    <w:uiPriority w:val="10"/>
    <w:rsid w:val="00406CFE"/>
    <w:rPr>
      <w:rFonts w:ascii="Century Gothic" w:eastAsiaTheme="majorEastAsia" w:hAnsi="Century Gothic" w:cstheme="majorBidi"/>
      <w:b/>
      <w:color w:val="2E74B5" w:themeColor="accent1" w:themeShade="BF"/>
      <w:spacing w:val="-10"/>
      <w:kern w:val="28"/>
      <w:sz w:val="32"/>
      <w:szCs w:val="56"/>
    </w:rPr>
  </w:style>
  <w:style w:type="paragraph" w:styleId="Textocomentario">
    <w:name w:val="annotation text"/>
    <w:basedOn w:val="Normal"/>
    <w:link w:val="TextocomentarioCar"/>
    <w:uiPriority w:val="99"/>
    <w:semiHidden/>
    <w:unhideWhenUsed/>
    <w:rsid w:val="00406CFE"/>
    <w:pPr>
      <w:spacing w:after="200"/>
    </w:pPr>
    <w:rPr>
      <w:rFonts w:asciiTheme="minorHAnsi" w:eastAsiaTheme="minorEastAsia" w:hAnsiTheme="minorHAnsi" w:cstheme="minorBidi"/>
      <w:sz w:val="20"/>
      <w:szCs w:val="20"/>
      <w:lang w:val="en-US"/>
    </w:rPr>
  </w:style>
  <w:style w:type="character" w:customStyle="1" w:styleId="TextocomentarioCar">
    <w:name w:val="Texto comentario Car"/>
    <w:basedOn w:val="Fuentedeprrafopredeter"/>
    <w:link w:val="Textocomentario"/>
    <w:uiPriority w:val="99"/>
    <w:semiHidden/>
    <w:rsid w:val="00406CFE"/>
    <w:rPr>
      <w:rFonts w:eastAsiaTheme="minorEastAsia"/>
      <w:sz w:val="20"/>
      <w:szCs w:val="20"/>
      <w:lang w:val="en-US"/>
    </w:rPr>
  </w:style>
  <w:style w:type="paragraph" w:styleId="Textodeglobo">
    <w:name w:val="Balloon Text"/>
    <w:basedOn w:val="Normal"/>
    <w:link w:val="TextodegloboCar"/>
    <w:uiPriority w:val="99"/>
    <w:semiHidden/>
    <w:unhideWhenUsed/>
    <w:rsid w:val="00D120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039"/>
    <w:rPr>
      <w:rFonts w:ascii="Segoe UI" w:hAnsi="Segoe UI" w:cs="Segoe UI"/>
      <w:sz w:val="18"/>
      <w:szCs w:val="18"/>
    </w:rPr>
  </w:style>
  <w:style w:type="paragraph" w:styleId="Sinespaciado">
    <w:name w:val="No Spacing"/>
    <w:uiPriority w:val="1"/>
    <w:qFormat/>
    <w:rsid w:val="00880B68"/>
    <w:pPr>
      <w:spacing w:after="0" w:line="240" w:lineRule="auto"/>
    </w:pPr>
    <w:rPr>
      <w:lang w:val="es-ES"/>
    </w:rPr>
  </w:style>
  <w:style w:type="paragraph" w:customStyle="1" w:styleId="Sinespaciado1">
    <w:name w:val="Sin espaciado1"/>
    <w:qFormat/>
    <w:rsid w:val="00880B68"/>
    <w:pPr>
      <w:spacing w:after="0" w:line="240" w:lineRule="auto"/>
    </w:pPr>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1106F"/>
    <w:rPr>
      <w:color w:val="605E5C"/>
      <w:shd w:val="clear" w:color="auto" w:fill="E1DFDD"/>
    </w:rPr>
  </w:style>
  <w:style w:type="paragraph" w:customStyle="1" w:styleId="xmsonormal">
    <w:name w:val="x_msonormal"/>
    <w:basedOn w:val="Normal"/>
    <w:rsid w:val="006521E7"/>
    <w:rPr>
      <w:lang w:eastAsia="es-CO"/>
    </w:rPr>
  </w:style>
  <w:style w:type="paragraph" w:customStyle="1" w:styleId="xmsolistparagraph">
    <w:name w:val="x_msolistparagraph"/>
    <w:basedOn w:val="Normal"/>
    <w:rsid w:val="006521E7"/>
    <w:pPr>
      <w:ind w:left="720"/>
    </w:pPr>
    <w:rPr>
      <w:lang w:eastAsia="es-CO"/>
    </w:rPr>
  </w:style>
  <w:style w:type="character" w:styleId="Refdecomentario">
    <w:name w:val="annotation reference"/>
    <w:basedOn w:val="Fuentedeprrafopredeter"/>
    <w:uiPriority w:val="99"/>
    <w:semiHidden/>
    <w:unhideWhenUsed/>
    <w:rsid w:val="001902EF"/>
    <w:rPr>
      <w:sz w:val="16"/>
      <w:szCs w:val="16"/>
    </w:rPr>
  </w:style>
  <w:style w:type="paragraph" w:styleId="Asuntodelcomentario">
    <w:name w:val="annotation subject"/>
    <w:basedOn w:val="Textocomentario"/>
    <w:next w:val="Textocomentario"/>
    <w:link w:val="AsuntodelcomentarioCar"/>
    <w:uiPriority w:val="99"/>
    <w:semiHidden/>
    <w:unhideWhenUsed/>
    <w:rsid w:val="001902EF"/>
    <w:pPr>
      <w:spacing w:after="0"/>
    </w:pPr>
    <w:rPr>
      <w:rFonts w:ascii="Calibri" w:eastAsiaTheme="minorHAnsi" w:hAnsi="Calibri" w:cs="Calibri"/>
      <w:b/>
      <w:bCs/>
      <w:lang w:val="es-CO"/>
    </w:rPr>
  </w:style>
  <w:style w:type="character" w:customStyle="1" w:styleId="AsuntodelcomentarioCar">
    <w:name w:val="Asunto del comentario Car"/>
    <w:basedOn w:val="TextocomentarioCar"/>
    <w:link w:val="Asuntodelcomentario"/>
    <w:uiPriority w:val="99"/>
    <w:semiHidden/>
    <w:rsid w:val="001902EF"/>
    <w:rPr>
      <w:rFonts w:ascii="Calibri" w:eastAsiaTheme="minorEastAsia" w:hAnsi="Calibri" w:cs="Calibri"/>
      <w:b/>
      <w:bCs/>
      <w:sz w:val="20"/>
      <w:szCs w:val="20"/>
      <w:lang w:val="en-US"/>
    </w:rPr>
  </w:style>
  <w:style w:type="paragraph" w:customStyle="1" w:styleId="xxmsonormal">
    <w:name w:val="x_x_msonormal"/>
    <w:basedOn w:val="Normal"/>
    <w:rsid w:val="006D3BAC"/>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5687">
      <w:bodyDiv w:val="1"/>
      <w:marLeft w:val="0"/>
      <w:marRight w:val="0"/>
      <w:marTop w:val="0"/>
      <w:marBottom w:val="0"/>
      <w:divBdr>
        <w:top w:val="none" w:sz="0" w:space="0" w:color="auto"/>
        <w:left w:val="none" w:sz="0" w:space="0" w:color="auto"/>
        <w:bottom w:val="none" w:sz="0" w:space="0" w:color="auto"/>
        <w:right w:val="none" w:sz="0" w:space="0" w:color="auto"/>
      </w:divBdr>
    </w:div>
    <w:div w:id="397872710">
      <w:bodyDiv w:val="1"/>
      <w:marLeft w:val="0"/>
      <w:marRight w:val="0"/>
      <w:marTop w:val="0"/>
      <w:marBottom w:val="0"/>
      <w:divBdr>
        <w:top w:val="none" w:sz="0" w:space="0" w:color="auto"/>
        <w:left w:val="none" w:sz="0" w:space="0" w:color="auto"/>
        <w:bottom w:val="none" w:sz="0" w:space="0" w:color="auto"/>
        <w:right w:val="none" w:sz="0" w:space="0" w:color="auto"/>
      </w:divBdr>
    </w:div>
    <w:div w:id="525750331">
      <w:bodyDiv w:val="1"/>
      <w:marLeft w:val="0"/>
      <w:marRight w:val="0"/>
      <w:marTop w:val="0"/>
      <w:marBottom w:val="0"/>
      <w:divBdr>
        <w:top w:val="none" w:sz="0" w:space="0" w:color="auto"/>
        <w:left w:val="none" w:sz="0" w:space="0" w:color="auto"/>
        <w:bottom w:val="none" w:sz="0" w:space="0" w:color="auto"/>
        <w:right w:val="none" w:sz="0" w:space="0" w:color="auto"/>
      </w:divBdr>
    </w:div>
    <w:div w:id="740912163">
      <w:bodyDiv w:val="1"/>
      <w:marLeft w:val="0"/>
      <w:marRight w:val="0"/>
      <w:marTop w:val="0"/>
      <w:marBottom w:val="0"/>
      <w:divBdr>
        <w:top w:val="none" w:sz="0" w:space="0" w:color="auto"/>
        <w:left w:val="none" w:sz="0" w:space="0" w:color="auto"/>
        <w:bottom w:val="none" w:sz="0" w:space="0" w:color="auto"/>
        <w:right w:val="none" w:sz="0" w:space="0" w:color="auto"/>
      </w:divBdr>
    </w:div>
    <w:div w:id="838740444">
      <w:bodyDiv w:val="1"/>
      <w:marLeft w:val="0"/>
      <w:marRight w:val="0"/>
      <w:marTop w:val="0"/>
      <w:marBottom w:val="0"/>
      <w:divBdr>
        <w:top w:val="none" w:sz="0" w:space="0" w:color="auto"/>
        <w:left w:val="none" w:sz="0" w:space="0" w:color="auto"/>
        <w:bottom w:val="none" w:sz="0" w:space="0" w:color="auto"/>
        <w:right w:val="none" w:sz="0" w:space="0" w:color="auto"/>
      </w:divBdr>
    </w:div>
    <w:div w:id="839544819">
      <w:bodyDiv w:val="1"/>
      <w:marLeft w:val="0"/>
      <w:marRight w:val="0"/>
      <w:marTop w:val="0"/>
      <w:marBottom w:val="0"/>
      <w:divBdr>
        <w:top w:val="none" w:sz="0" w:space="0" w:color="auto"/>
        <w:left w:val="none" w:sz="0" w:space="0" w:color="auto"/>
        <w:bottom w:val="none" w:sz="0" w:space="0" w:color="auto"/>
        <w:right w:val="none" w:sz="0" w:space="0" w:color="auto"/>
      </w:divBdr>
      <w:divsChild>
        <w:div w:id="1688211789">
          <w:marLeft w:val="0"/>
          <w:marRight w:val="0"/>
          <w:marTop w:val="0"/>
          <w:marBottom w:val="75"/>
          <w:divBdr>
            <w:top w:val="none" w:sz="0" w:space="0" w:color="auto"/>
            <w:left w:val="none" w:sz="0" w:space="0" w:color="auto"/>
            <w:bottom w:val="none" w:sz="0" w:space="0" w:color="auto"/>
            <w:right w:val="none" w:sz="0" w:space="0" w:color="auto"/>
          </w:divBdr>
        </w:div>
      </w:divsChild>
    </w:div>
    <w:div w:id="907422517">
      <w:bodyDiv w:val="1"/>
      <w:marLeft w:val="0"/>
      <w:marRight w:val="0"/>
      <w:marTop w:val="0"/>
      <w:marBottom w:val="0"/>
      <w:divBdr>
        <w:top w:val="none" w:sz="0" w:space="0" w:color="auto"/>
        <w:left w:val="none" w:sz="0" w:space="0" w:color="auto"/>
        <w:bottom w:val="none" w:sz="0" w:space="0" w:color="auto"/>
        <w:right w:val="none" w:sz="0" w:space="0" w:color="auto"/>
      </w:divBdr>
    </w:div>
    <w:div w:id="958415230">
      <w:bodyDiv w:val="1"/>
      <w:marLeft w:val="0"/>
      <w:marRight w:val="0"/>
      <w:marTop w:val="0"/>
      <w:marBottom w:val="0"/>
      <w:divBdr>
        <w:top w:val="none" w:sz="0" w:space="0" w:color="auto"/>
        <w:left w:val="none" w:sz="0" w:space="0" w:color="auto"/>
        <w:bottom w:val="none" w:sz="0" w:space="0" w:color="auto"/>
        <w:right w:val="none" w:sz="0" w:space="0" w:color="auto"/>
      </w:divBdr>
    </w:div>
    <w:div w:id="1114667486">
      <w:bodyDiv w:val="1"/>
      <w:marLeft w:val="0"/>
      <w:marRight w:val="0"/>
      <w:marTop w:val="0"/>
      <w:marBottom w:val="0"/>
      <w:divBdr>
        <w:top w:val="none" w:sz="0" w:space="0" w:color="auto"/>
        <w:left w:val="none" w:sz="0" w:space="0" w:color="auto"/>
        <w:bottom w:val="none" w:sz="0" w:space="0" w:color="auto"/>
        <w:right w:val="none" w:sz="0" w:space="0" w:color="auto"/>
      </w:divBdr>
    </w:div>
    <w:div w:id="1198391437">
      <w:bodyDiv w:val="1"/>
      <w:marLeft w:val="0"/>
      <w:marRight w:val="0"/>
      <w:marTop w:val="0"/>
      <w:marBottom w:val="0"/>
      <w:divBdr>
        <w:top w:val="none" w:sz="0" w:space="0" w:color="auto"/>
        <w:left w:val="none" w:sz="0" w:space="0" w:color="auto"/>
        <w:bottom w:val="none" w:sz="0" w:space="0" w:color="auto"/>
        <w:right w:val="none" w:sz="0" w:space="0" w:color="auto"/>
      </w:divBdr>
    </w:div>
    <w:div w:id="1256475364">
      <w:bodyDiv w:val="1"/>
      <w:marLeft w:val="0"/>
      <w:marRight w:val="0"/>
      <w:marTop w:val="0"/>
      <w:marBottom w:val="0"/>
      <w:divBdr>
        <w:top w:val="none" w:sz="0" w:space="0" w:color="auto"/>
        <w:left w:val="none" w:sz="0" w:space="0" w:color="auto"/>
        <w:bottom w:val="none" w:sz="0" w:space="0" w:color="auto"/>
        <w:right w:val="none" w:sz="0" w:space="0" w:color="auto"/>
      </w:divBdr>
    </w:div>
    <w:div w:id="1280650838">
      <w:bodyDiv w:val="1"/>
      <w:marLeft w:val="0"/>
      <w:marRight w:val="0"/>
      <w:marTop w:val="0"/>
      <w:marBottom w:val="0"/>
      <w:divBdr>
        <w:top w:val="none" w:sz="0" w:space="0" w:color="auto"/>
        <w:left w:val="none" w:sz="0" w:space="0" w:color="auto"/>
        <w:bottom w:val="none" w:sz="0" w:space="0" w:color="auto"/>
        <w:right w:val="none" w:sz="0" w:space="0" w:color="auto"/>
      </w:divBdr>
    </w:div>
    <w:div w:id="1352535614">
      <w:bodyDiv w:val="1"/>
      <w:marLeft w:val="0"/>
      <w:marRight w:val="0"/>
      <w:marTop w:val="0"/>
      <w:marBottom w:val="0"/>
      <w:divBdr>
        <w:top w:val="none" w:sz="0" w:space="0" w:color="auto"/>
        <w:left w:val="none" w:sz="0" w:space="0" w:color="auto"/>
        <w:bottom w:val="none" w:sz="0" w:space="0" w:color="auto"/>
        <w:right w:val="none" w:sz="0" w:space="0" w:color="auto"/>
      </w:divBdr>
    </w:div>
    <w:div w:id="1411808354">
      <w:bodyDiv w:val="1"/>
      <w:marLeft w:val="0"/>
      <w:marRight w:val="0"/>
      <w:marTop w:val="0"/>
      <w:marBottom w:val="0"/>
      <w:divBdr>
        <w:top w:val="none" w:sz="0" w:space="0" w:color="auto"/>
        <w:left w:val="none" w:sz="0" w:space="0" w:color="auto"/>
        <w:bottom w:val="none" w:sz="0" w:space="0" w:color="auto"/>
        <w:right w:val="none" w:sz="0" w:space="0" w:color="auto"/>
      </w:divBdr>
      <w:divsChild>
        <w:div w:id="1300651887">
          <w:marLeft w:val="720"/>
          <w:marRight w:val="0"/>
          <w:marTop w:val="0"/>
          <w:marBottom w:val="120"/>
          <w:divBdr>
            <w:top w:val="none" w:sz="0" w:space="0" w:color="auto"/>
            <w:left w:val="none" w:sz="0" w:space="0" w:color="auto"/>
            <w:bottom w:val="none" w:sz="0" w:space="0" w:color="auto"/>
            <w:right w:val="none" w:sz="0" w:space="0" w:color="auto"/>
          </w:divBdr>
        </w:div>
      </w:divsChild>
    </w:div>
    <w:div w:id="1413819263">
      <w:bodyDiv w:val="1"/>
      <w:marLeft w:val="0"/>
      <w:marRight w:val="0"/>
      <w:marTop w:val="0"/>
      <w:marBottom w:val="0"/>
      <w:divBdr>
        <w:top w:val="none" w:sz="0" w:space="0" w:color="auto"/>
        <w:left w:val="none" w:sz="0" w:space="0" w:color="auto"/>
        <w:bottom w:val="none" w:sz="0" w:space="0" w:color="auto"/>
        <w:right w:val="none" w:sz="0" w:space="0" w:color="auto"/>
      </w:divBdr>
    </w:div>
    <w:div w:id="1454400181">
      <w:bodyDiv w:val="1"/>
      <w:marLeft w:val="0"/>
      <w:marRight w:val="0"/>
      <w:marTop w:val="0"/>
      <w:marBottom w:val="0"/>
      <w:divBdr>
        <w:top w:val="none" w:sz="0" w:space="0" w:color="auto"/>
        <w:left w:val="none" w:sz="0" w:space="0" w:color="auto"/>
        <w:bottom w:val="none" w:sz="0" w:space="0" w:color="auto"/>
        <w:right w:val="none" w:sz="0" w:space="0" w:color="auto"/>
      </w:divBdr>
    </w:div>
    <w:div w:id="1490167396">
      <w:bodyDiv w:val="1"/>
      <w:marLeft w:val="0"/>
      <w:marRight w:val="0"/>
      <w:marTop w:val="0"/>
      <w:marBottom w:val="0"/>
      <w:divBdr>
        <w:top w:val="none" w:sz="0" w:space="0" w:color="auto"/>
        <w:left w:val="none" w:sz="0" w:space="0" w:color="auto"/>
        <w:bottom w:val="none" w:sz="0" w:space="0" w:color="auto"/>
        <w:right w:val="none" w:sz="0" w:space="0" w:color="auto"/>
      </w:divBdr>
    </w:div>
    <w:div w:id="1510674264">
      <w:bodyDiv w:val="1"/>
      <w:marLeft w:val="0"/>
      <w:marRight w:val="0"/>
      <w:marTop w:val="0"/>
      <w:marBottom w:val="0"/>
      <w:divBdr>
        <w:top w:val="none" w:sz="0" w:space="0" w:color="auto"/>
        <w:left w:val="none" w:sz="0" w:space="0" w:color="auto"/>
        <w:bottom w:val="none" w:sz="0" w:space="0" w:color="auto"/>
        <w:right w:val="none" w:sz="0" w:space="0" w:color="auto"/>
      </w:divBdr>
    </w:div>
    <w:div w:id="1556624451">
      <w:bodyDiv w:val="1"/>
      <w:marLeft w:val="0"/>
      <w:marRight w:val="0"/>
      <w:marTop w:val="0"/>
      <w:marBottom w:val="0"/>
      <w:divBdr>
        <w:top w:val="none" w:sz="0" w:space="0" w:color="auto"/>
        <w:left w:val="none" w:sz="0" w:space="0" w:color="auto"/>
        <w:bottom w:val="none" w:sz="0" w:space="0" w:color="auto"/>
        <w:right w:val="none" w:sz="0" w:space="0" w:color="auto"/>
      </w:divBdr>
    </w:div>
    <w:div w:id="1557543531">
      <w:bodyDiv w:val="1"/>
      <w:marLeft w:val="0"/>
      <w:marRight w:val="0"/>
      <w:marTop w:val="0"/>
      <w:marBottom w:val="0"/>
      <w:divBdr>
        <w:top w:val="none" w:sz="0" w:space="0" w:color="auto"/>
        <w:left w:val="none" w:sz="0" w:space="0" w:color="auto"/>
        <w:bottom w:val="none" w:sz="0" w:space="0" w:color="auto"/>
        <w:right w:val="none" w:sz="0" w:space="0" w:color="auto"/>
      </w:divBdr>
    </w:div>
    <w:div w:id="1596085988">
      <w:bodyDiv w:val="1"/>
      <w:marLeft w:val="0"/>
      <w:marRight w:val="0"/>
      <w:marTop w:val="0"/>
      <w:marBottom w:val="0"/>
      <w:divBdr>
        <w:top w:val="none" w:sz="0" w:space="0" w:color="auto"/>
        <w:left w:val="none" w:sz="0" w:space="0" w:color="auto"/>
        <w:bottom w:val="none" w:sz="0" w:space="0" w:color="auto"/>
        <w:right w:val="none" w:sz="0" w:space="0" w:color="auto"/>
      </w:divBdr>
    </w:div>
    <w:div w:id="1748451781">
      <w:bodyDiv w:val="1"/>
      <w:marLeft w:val="0"/>
      <w:marRight w:val="0"/>
      <w:marTop w:val="0"/>
      <w:marBottom w:val="0"/>
      <w:divBdr>
        <w:top w:val="none" w:sz="0" w:space="0" w:color="auto"/>
        <w:left w:val="none" w:sz="0" w:space="0" w:color="auto"/>
        <w:bottom w:val="none" w:sz="0" w:space="0" w:color="auto"/>
        <w:right w:val="none" w:sz="0" w:space="0" w:color="auto"/>
      </w:divBdr>
    </w:div>
    <w:div w:id="208741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mentosparaaprender.gov.co/noticias/los-5-presuntos-casos-de-eta-en-boyaca-estan-siendo" TargetMode="External"/><Relationship Id="rId13" Type="http://schemas.openxmlformats.org/officeDocument/2006/relationships/hyperlink" Target="https://www.alimentosparaaprender.gov.co/noticias/directriz-en-proveeduria-de-alimentos-y-materias-prim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imentosparaaprender.gov.co/noticias/pronunciamiento-de-la-uapa-sobre-el-pae-en-riohacha" TargetMode="External"/><Relationship Id="rId12" Type="http://schemas.openxmlformats.org/officeDocument/2006/relationships/hyperlink" Target="https://unidad-administrativa-especial-alimentacion-escolar.micolombiadigital.gov.co/noticias/adecuado-y-oportuno-control-evito-el-consumo-de-alimento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dad-administrativa-especial-alimentacion-escolar.micolombiadigital.gov.co/noticias/informes-finales-sobre-enfermedad-transmitida-por-alimentos" TargetMode="External"/><Relationship Id="rId5" Type="http://schemas.openxmlformats.org/officeDocument/2006/relationships/footnotes" Target="footnotes.xml"/><Relationship Id="rId15" Type="http://schemas.openxmlformats.org/officeDocument/2006/relationships/hyperlink" Target="https://www.alimentosparaaprender.gov.co/tema/lineamientos-tecnicos-pae" TargetMode="External"/><Relationship Id="rId10" Type="http://schemas.openxmlformats.org/officeDocument/2006/relationships/hyperlink" Target="https://unidad-administrativa-especial-alimentacion-escolar.micolombiadigital.gov.co/noticias/identificada-bacteria-bacillus-cereus-en-parametro-po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nidad-administrativa-especial-alimentacion-escolar.micolombiadigital.gov.co/noticias/queso-costeno-sin-rotulado-asociado-a-un-posible-brote" TargetMode="External"/><Relationship Id="rId14" Type="http://schemas.openxmlformats.org/officeDocument/2006/relationships/hyperlink" Target="https://www.alimentosparaaprender.gov.co/noticias/los-casos-de-brotes-de-eta-en-medellin-bogota-y-huil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tencion@alimentosparaaprender.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6</Pages>
  <Words>3348</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EQUIPO UAPA SUB FORTALECIMIENTO_2022_PilarGonzálezRz</cp:lastModifiedBy>
  <cp:revision>115</cp:revision>
  <dcterms:created xsi:type="dcterms:W3CDTF">2022-03-26T04:53:00Z</dcterms:created>
  <dcterms:modified xsi:type="dcterms:W3CDTF">2022-04-08T16:58:00Z</dcterms:modified>
</cp:coreProperties>
</file>